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5.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9E1EBC" w:rsidR="00D420F3" w:rsidP="009E1EBC" w:rsidRDefault="00D420F3">
      <w:pPr>
        <w:pStyle w:val="ECHRDecisionBody"/>
        <w:jc w:val="center"/>
      </w:pPr>
      <w:bookmarkStart w:name="_GoBack" w:id="0"/>
      <w:bookmarkEnd w:id="0"/>
    </w:p>
    <w:p w:rsidRPr="009E1EBC" w:rsidR="00A60C6E" w:rsidP="009E1EBC" w:rsidRDefault="00A60C6E">
      <w:pPr>
        <w:pStyle w:val="ECHRDecisionBody"/>
        <w:jc w:val="center"/>
      </w:pPr>
    </w:p>
    <w:p w:rsidRPr="009E1EBC" w:rsidR="00A60C6E" w:rsidP="009E1EBC" w:rsidRDefault="00A60C6E">
      <w:pPr>
        <w:pStyle w:val="ECHRDecisionBody"/>
        <w:jc w:val="center"/>
      </w:pPr>
    </w:p>
    <w:p w:rsidRPr="009E1EBC" w:rsidR="00D420F3" w:rsidP="009E1EBC" w:rsidRDefault="00B0680F">
      <w:pPr>
        <w:jc w:val="center"/>
      </w:pPr>
      <w:r w:rsidRPr="009E1EBC">
        <w:t>FOURTH SECTION</w:t>
      </w:r>
    </w:p>
    <w:p w:rsidRPr="009E1EBC" w:rsidR="00D420F3" w:rsidP="009E1EBC" w:rsidRDefault="00D420F3">
      <w:pPr>
        <w:jc w:val="center"/>
      </w:pPr>
    </w:p>
    <w:p w:rsidRPr="009E1EBC" w:rsidR="00A60C6E" w:rsidP="009E1EBC" w:rsidRDefault="00A60C6E">
      <w:pPr>
        <w:jc w:val="center"/>
      </w:pPr>
    </w:p>
    <w:p w:rsidRPr="009E1EBC" w:rsidR="00A60C6E" w:rsidP="009E1EBC" w:rsidRDefault="00A60C6E">
      <w:pPr>
        <w:jc w:val="center"/>
      </w:pPr>
    </w:p>
    <w:p w:rsidRPr="009E1EBC" w:rsidR="00A60C6E" w:rsidP="009E1EBC" w:rsidRDefault="00A60C6E">
      <w:pPr>
        <w:jc w:val="center"/>
      </w:pPr>
    </w:p>
    <w:p w:rsidRPr="009E1EBC" w:rsidR="0030724F" w:rsidP="009E1EBC" w:rsidRDefault="0030724F">
      <w:pPr>
        <w:jc w:val="center"/>
      </w:pPr>
    </w:p>
    <w:p w:rsidRPr="009E1EBC" w:rsidR="00A60C6E" w:rsidP="009E1EBC" w:rsidRDefault="00A60C6E">
      <w:pPr>
        <w:jc w:val="center"/>
      </w:pPr>
    </w:p>
    <w:p w:rsidRPr="009E1EBC" w:rsidR="00A60C6E" w:rsidP="009E1EBC" w:rsidRDefault="00A60C6E">
      <w:pPr>
        <w:jc w:val="center"/>
      </w:pPr>
    </w:p>
    <w:p w:rsidRPr="009E1EBC" w:rsidR="00D420F3" w:rsidP="009E1EBC" w:rsidRDefault="0077175D">
      <w:pPr>
        <w:jc w:val="center"/>
        <w:rPr>
          <w:b/>
        </w:rPr>
      </w:pPr>
      <w:r w:rsidRPr="009E1EBC">
        <w:rPr>
          <w:b/>
        </w:rPr>
        <w:t xml:space="preserve">CASE OF </w:t>
      </w:r>
      <w:r w:rsidRPr="009E1EBC" w:rsidR="00B0680F">
        <w:rPr>
          <w:b/>
        </w:rPr>
        <w:t>STANA v. ROMANIA</w:t>
      </w:r>
    </w:p>
    <w:p w:rsidRPr="009E1EBC" w:rsidR="00D420F3" w:rsidP="009E1EBC" w:rsidRDefault="00D420F3">
      <w:pPr>
        <w:jc w:val="center"/>
      </w:pPr>
    </w:p>
    <w:p w:rsidRPr="009E1EBC" w:rsidR="00D420F3" w:rsidP="009E1EBC" w:rsidRDefault="0077175D">
      <w:pPr>
        <w:jc w:val="center"/>
        <w:rPr>
          <w:i/>
        </w:rPr>
      </w:pPr>
      <w:r w:rsidRPr="009E1EBC">
        <w:rPr>
          <w:i/>
        </w:rPr>
        <w:t>(</w:t>
      </w:r>
      <w:r w:rsidRPr="009E1EBC" w:rsidR="00B0680F">
        <w:rPr>
          <w:i/>
        </w:rPr>
        <w:t>Application no. 66640/12</w:t>
      </w:r>
      <w:r w:rsidRPr="009E1EBC">
        <w:rPr>
          <w:i/>
        </w:rPr>
        <w:t>)</w:t>
      </w:r>
    </w:p>
    <w:p w:rsidRPr="009E1EBC" w:rsidR="00D420F3" w:rsidP="009E1EBC" w:rsidRDefault="00D420F3">
      <w:pPr>
        <w:jc w:val="center"/>
      </w:pPr>
    </w:p>
    <w:p w:rsidRPr="009E1EBC" w:rsidR="00D420F3" w:rsidP="009E1EBC" w:rsidRDefault="00D420F3">
      <w:pPr>
        <w:jc w:val="center"/>
      </w:pPr>
    </w:p>
    <w:p w:rsidRPr="009E1EBC" w:rsidR="00D420F3" w:rsidP="009E1EBC" w:rsidRDefault="00D420F3">
      <w:pPr>
        <w:jc w:val="center"/>
      </w:pPr>
    </w:p>
    <w:p w:rsidRPr="009E1EBC" w:rsidR="00D420F3" w:rsidP="009E1EBC" w:rsidRDefault="00D420F3">
      <w:pPr>
        <w:jc w:val="center"/>
      </w:pPr>
    </w:p>
    <w:p w:rsidRPr="009E1EBC" w:rsidR="00D420F3" w:rsidP="009E1EBC" w:rsidRDefault="00D420F3">
      <w:pPr>
        <w:jc w:val="center"/>
      </w:pPr>
    </w:p>
    <w:p w:rsidRPr="009E1EBC" w:rsidR="00D420F3" w:rsidP="009E1EBC" w:rsidRDefault="00D420F3">
      <w:pPr>
        <w:jc w:val="center"/>
      </w:pPr>
    </w:p>
    <w:p w:rsidRPr="009E1EBC" w:rsidR="00294427" w:rsidP="009E1EBC" w:rsidRDefault="00294427">
      <w:pPr>
        <w:jc w:val="center"/>
      </w:pPr>
    </w:p>
    <w:p w:rsidRPr="009E1EBC" w:rsidR="00294427" w:rsidP="009E1EBC" w:rsidRDefault="00294427">
      <w:pPr>
        <w:jc w:val="center"/>
      </w:pPr>
    </w:p>
    <w:p w:rsidRPr="009E1EBC" w:rsidR="00D420F3" w:rsidP="009E1EBC" w:rsidRDefault="00A60C6E">
      <w:pPr>
        <w:jc w:val="center"/>
        <w:rPr>
          <w:szCs w:val="24"/>
        </w:rPr>
      </w:pPr>
      <w:r w:rsidRPr="009E1EBC">
        <w:rPr>
          <w:szCs w:val="24"/>
        </w:rPr>
        <w:t>JUDGMENT</w:t>
      </w:r>
    </w:p>
    <w:p w:rsidRPr="009E1EBC" w:rsidR="004633FD" w:rsidP="009E1EBC" w:rsidRDefault="004633FD">
      <w:pPr>
        <w:pStyle w:val="JuCase"/>
        <w:ind w:firstLine="0"/>
        <w:jc w:val="center"/>
        <w:rPr>
          <w:b w:val="0"/>
        </w:rPr>
      </w:pPr>
    </w:p>
    <w:p w:rsidRPr="009E1EBC" w:rsidR="00A60C6E" w:rsidP="009E1EBC" w:rsidRDefault="00A60C6E">
      <w:pPr>
        <w:pStyle w:val="JuCase"/>
        <w:ind w:firstLine="0"/>
        <w:jc w:val="center"/>
        <w:rPr>
          <w:b w:val="0"/>
        </w:rPr>
      </w:pPr>
    </w:p>
    <w:p w:rsidRPr="009E1EBC" w:rsidR="00A60C6E" w:rsidP="009E1EBC" w:rsidRDefault="00A60C6E">
      <w:pPr>
        <w:pStyle w:val="JuCase"/>
        <w:ind w:firstLine="0"/>
        <w:jc w:val="center"/>
        <w:rPr>
          <w:b w:val="0"/>
        </w:rPr>
      </w:pPr>
      <w:r w:rsidRPr="009E1EBC">
        <w:rPr>
          <w:b w:val="0"/>
        </w:rPr>
        <w:t>STRASBOURG</w:t>
      </w:r>
    </w:p>
    <w:p w:rsidRPr="009E1EBC" w:rsidR="004633FD" w:rsidP="009E1EBC" w:rsidRDefault="004633FD">
      <w:pPr>
        <w:pStyle w:val="JuCase"/>
        <w:ind w:firstLine="0"/>
        <w:jc w:val="center"/>
        <w:rPr>
          <w:b w:val="0"/>
        </w:rPr>
      </w:pPr>
    </w:p>
    <w:p w:rsidRPr="009E1EBC" w:rsidR="00A60C6E" w:rsidP="009E1EBC" w:rsidRDefault="00A60C6E">
      <w:pPr>
        <w:pStyle w:val="JuCase"/>
        <w:ind w:firstLine="0"/>
        <w:jc w:val="center"/>
        <w:rPr>
          <w:b w:val="0"/>
        </w:rPr>
      </w:pPr>
      <w:r w:rsidRPr="009E1EBC">
        <w:rPr>
          <w:b w:val="0"/>
        </w:rPr>
        <w:t>4 December 2018</w:t>
      </w:r>
    </w:p>
    <w:p w:rsidRPr="009E1EBC" w:rsidR="00A60C6E" w:rsidP="009E1EBC" w:rsidRDefault="00A60C6E">
      <w:pPr>
        <w:pStyle w:val="JuCase"/>
        <w:ind w:firstLine="0"/>
        <w:jc w:val="center"/>
        <w:rPr>
          <w:b w:val="0"/>
        </w:rPr>
      </w:pPr>
    </w:p>
    <w:p w:rsidRPr="009E1EBC" w:rsidR="00A60C6E" w:rsidP="009E1EBC" w:rsidRDefault="00A60C6E">
      <w:pPr>
        <w:pStyle w:val="JuCase"/>
        <w:ind w:firstLine="0"/>
        <w:jc w:val="center"/>
        <w:rPr>
          <w:b w:val="0"/>
        </w:rPr>
      </w:pPr>
    </w:p>
    <w:p w:rsidRPr="009E1EBC" w:rsidR="004633FD" w:rsidP="009E1EBC" w:rsidRDefault="004633FD">
      <w:pPr>
        <w:pStyle w:val="JuCase"/>
        <w:ind w:firstLine="0"/>
        <w:jc w:val="center"/>
        <w:rPr>
          <w:b w:val="0"/>
        </w:rPr>
      </w:pPr>
    </w:p>
    <w:p w:rsidRPr="009E1EBC" w:rsidR="004633FD" w:rsidP="009E1EBC" w:rsidRDefault="004633FD">
      <w:pPr>
        <w:pStyle w:val="JuCase"/>
        <w:ind w:firstLine="0"/>
        <w:jc w:val="center"/>
        <w:rPr>
          <w:b w:val="0"/>
        </w:rPr>
      </w:pPr>
    </w:p>
    <w:p w:rsidRPr="009E1EBC" w:rsidR="004633FD" w:rsidP="009E1EBC" w:rsidRDefault="004633FD">
      <w:pPr>
        <w:pStyle w:val="JuCase"/>
        <w:ind w:firstLine="0"/>
        <w:jc w:val="center"/>
        <w:rPr>
          <w:b w:val="0"/>
        </w:rPr>
      </w:pPr>
    </w:p>
    <w:p w:rsidRPr="009E1EBC" w:rsidR="004633FD" w:rsidP="009E1EBC" w:rsidRDefault="004633FD">
      <w:pPr>
        <w:pStyle w:val="JuCase"/>
        <w:ind w:firstLine="0"/>
        <w:jc w:val="center"/>
        <w:rPr>
          <w:b w:val="0"/>
        </w:rPr>
      </w:pPr>
    </w:p>
    <w:p w:rsidRPr="009E1EBC" w:rsidR="004633FD" w:rsidP="009E1EBC" w:rsidRDefault="004633FD">
      <w:pPr>
        <w:pStyle w:val="JuCase"/>
        <w:ind w:firstLine="0"/>
        <w:jc w:val="center"/>
        <w:rPr>
          <w:b w:val="0"/>
        </w:rPr>
      </w:pPr>
    </w:p>
    <w:p w:rsidRPr="009E1EBC" w:rsidR="0030724F" w:rsidP="009E1EBC" w:rsidRDefault="00A60C6E">
      <w:pPr>
        <w:pStyle w:val="JuCase"/>
        <w:ind w:firstLine="0"/>
        <w:jc w:val="left"/>
        <w:rPr>
          <w:b w:val="0"/>
          <w:i/>
          <w:sz w:val="22"/>
        </w:rPr>
      </w:pPr>
      <w:r w:rsidRPr="009E1EBC">
        <w:rPr>
          <w:b w:val="0"/>
          <w:i/>
          <w:sz w:val="22"/>
        </w:rPr>
        <w:t>This judgment is final but it may be subject to editorial revision.</w:t>
      </w:r>
    </w:p>
    <w:p w:rsidRPr="009E1EBC" w:rsidR="0030724F" w:rsidP="009E1EBC" w:rsidRDefault="0030724F">
      <w:pPr>
        <w:pStyle w:val="ECHRPara"/>
      </w:pPr>
    </w:p>
    <w:p w:rsidRPr="009E1EBC" w:rsidR="0030724F" w:rsidP="009E1EBC" w:rsidRDefault="0030724F">
      <w:pPr>
        <w:pStyle w:val="ECHRPara"/>
        <w:sectPr w:rsidRPr="009E1EBC" w:rsidR="0030724F" w:rsidSect="00A60C6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6" w:h="16838" w:code="9"/>
          <w:pgMar w:top="2274" w:right="2274" w:bottom="2274" w:left="2274" w:header="1701" w:footer="720" w:gutter="0"/>
          <w:pgNumType w:start="1"/>
          <w:cols w:space="720"/>
          <w:titlePg/>
          <w:docGrid w:linePitch="326"/>
        </w:sectPr>
      </w:pPr>
    </w:p>
    <w:p w:rsidRPr="009E1EBC" w:rsidR="00D420F3" w:rsidP="009E1EBC" w:rsidRDefault="0077175D">
      <w:pPr>
        <w:pStyle w:val="JuCase"/>
        <w:rPr>
          <w:bCs/>
        </w:rPr>
      </w:pPr>
      <w:r w:rsidRPr="009E1EBC">
        <w:t xml:space="preserve">In the case of </w:t>
      </w:r>
      <w:proofErr w:type="spellStart"/>
      <w:r w:rsidRPr="009E1EBC" w:rsidR="00B0680F">
        <w:t>Stana</w:t>
      </w:r>
      <w:proofErr w:type="spellEnd"/>
      <w:r w:rsidRPr="009E1EBC" w:rsidR="00B0680F">
        <w:t xml:space="preserve"> v. Romania</w:t>
      </w:r>
      <w:r w:rsidRPr="009E1EBC">
        <w:t>,</w:t>
      </w:r>
    </w:p>
    <w:p w:rsidRPr="009E1EBC" w:rsidR="00D420F3" w:rsidP="009E1EBC" w:rsidRDefault="0077175D">
      <w:pPr>
        <w:pStyle w:val="ECHRPara"/>
      </w:pPr>
      <w:r w:rsidRPr="009E1EBC">
        <w:t>The European Court of Human Rights (</w:t>
      </w:r>
      <w:r w:rsidRPr="009E1EBC" w:rsidR="00B0680F">
        <w:t>Fourth Section</w:t>
      </w:r>
      <w:r w:rsidRPr="009E1EBC">
        <w:t xml:space="preserve">), sitting as a </w:t>
      </w:r>
      <w:r w:rsidRPr="009E1EBC" w:rsidR="00B0680F">
        <w:t>Committee</w:t>
      </w:r>
      <w:r w:rsidRPr="009E1EBC">
        <w:t xml:space="preserve"> composed of:</w:t>
      </w:r>
    </w:p>
    <w:p w:rsidRPr="009E1EBC" w:rsidR="00D420F3" w:rsidP="009E1EBC" w:rsidRDefault="00A96A11">
      <w:pPr>
        <w:pStyle w:val="ECHRDecisionBody"/>
      </w:pPr>
      <w:r w:rsidRPr="009E1EBC">
        <w:tab/>
        <w:t>Paulo Pinto de Albuquerque,</w:t>
      </w:r>
      <w:r w:rsidRPr="009E1EBC">
        <w:rPr>
          <w:i/>
        </w:rPr>
        <w:t xml:space="preserve"> President,</w:t>
      </w:r>
      <w:r w:rsidRPr="009E1EBC">
        <w:rPr>
          <w:i/>
        </w:rPr>
        <w:br/>
      </w:r>
      <w:r w:rsidRPr="009E1EBC">
        <w:tab/>
      </w:r>
      <w:proofErr w:type="spellStart"/>
      <w:r w:rsidRPr="009E1EBC">
        <w:t>Egidijus</w:t>
      </w:r>
      <w:proofErr w:type="spellEnd"/>
      <w:r w:rsidRPr="009E1EBC">
        <w:t xml:space="preserve"> </w:t>
      </w:r>
      <w:proofErr w:type="spellStart"/>
      <w:r w:rsidRPr="009E1EBC">
        <w:t>Kūris</w:t>
      </w:r>
      <w:proofErr w:type="spellEnd"/>
      <w:r w:rsidRPr="009E1EBC">
        <w:t>,</w:t>
      </w:r>
      <w:r w:rsidRPr="009E1EBC">
        <w:rPr>
          <w:i/>
        </w:rPr>
        <w:br/>
      </w:r>
      <w:r w:rsidRPr="009E1EBC">
        <w:tab/>
        <w:t xml:space="preserve">Iulia </w:t>
      </w:r>
      <w:proofErr w:type="spellStart"/>
      <w:r w:rsidRPr="009E1EBC">
        <w:t>Antoanella</w:t>
      </w:r>
      <w:proofErr w:type="spellEnd"/>
      <w:r w:rsidRPr="009E1EBC">
        <w:t xml:space="preserve"> Motoc,</w:t>
      </w:r>
      <w:r w:rsidRPr="009E1EBC">
        <w:rPr>
          <w:i/>
        </w:rPr>
        <w:t xml:space="preserve"> judges,</w:t>
      </w:r>
      <w:r w:rsidRPr="009E1EBC" w:rsidR="0077175D">
        <w:rPr>
          <w:szCs w:val="24"/>
        </w:rPr>
        <w:br/>
      </w:r>
      <w:r w:rsidRPr="009E1EBC" w:rsidR="0077175D">
        <w:t xml:space="preserve">and </w:t>
      </w:r>
      <w:r w:rsidRPr="009E1EBC" w:rsidR="00B0680F">
        <w:t>Andrea Tamietti</w:t>
      </w:r>
      <w:r w:rsidRPr="009E1EBC" w:rsidR="0077175D">
        <w:t xml:space="preserve">, </w:t>
      </w:r>
      <w:r w:rsidRPr="009E1EBC" w:rsidR="00B0680F">
        <w:rPr>
          <w:i/>
        </w:rPr>
        <w:t xml:space="preserve">Deputy Section </w:t>
      </w:r>
      <w:r w:rsidRPr="009E1EBC" w:rsidR="00B0680F">
        <w:rPr>
          <w:i/>
          <w:iCs/>
        </w:rPr>
        <w:t>Registrar</w:t>
      </w:r>
      <w:r w:rsidRPr="009E1EBC" w:rsidR="0077175D">
        <w:rPr>
          <w:i/>
        </w:rPr>
        <w:t>,</w:t>
      </w:r>
    </w:p>
    <w:p w:rsidRPr="009E1EBC" w:rsidR="00D420F3" w:rsidP="009E1EBC" w:rsidRDefault="0077175D">
      <w:pPr>
        <w:pStyle w:val="ECHRPara"/>
      </w:pPr>
      <w:r w:rsidRPr="009E1EBC">
        <w:t xml:space="preserve">Having deliberated in private on </w:t>
      </w:r>
      <w:r w:rsidRPr="009E1EBC" w:rsidR="00A96A11">
        <w:t>13 November 2018</w:t>
      </w:r>
      <w:r w:rsidRPr="009E1EBC">
        <w:t>,</w:t>
      </w:r>
    </w:p>
    <w:p w:rsidRPr="009E1EBC" w:rsidR="00D420F3" w:rsidP="009E1EBC" w:rsidRDefault="0077175D">
      <w:pPr>
        <w:pStyle w:val="ECHRPara"/>
      </w:pPr>
      <w:r w:rsidRPr="009E1EBC">
        <w:t>Delivers the following judgment, which was adopted on that date:</w:t>
      </w:r>
    </w:p>
    <w:p w:rsidRPr="009E1EBC" w:rsidR="00D420F3" w:rsidP="009E1EBC" w:rsidRDefault="0077175D">
      <w:pPr>
        <w:pStyle w:val="ECHRTitle1"/>
      </w:pPr>
      <w:r w:rsidRPr="009E1EBC">
        <w:t>PROCEDURE</w:t>
      </w:r>
    </w:p>
    <w:p w:rsidRPr="009E1EBC" w:rsidR="00B0680F" w:rsidP="009E1EBC" w:rsidRDefault="00B0680F">
      <w:pPr>
        <w:pStyle w:val="ECHRPara"/>
      </w:pPr>
      <w:r w:rsidRPr="009E1EBC">
        <w:fldChar w:fldCharType="begin"/>
      </w:r>
      <w:r w:rsidRPr="009E1EBC">
        <w:instrText xml:space="preserve"> SEQ level0 \*arabic </w:instrText>
      </w:r>
      <w:r w:rsidRPr="009E1EBC">
        <w:fldChar w:fldCharType="separate"/>
      </w:r>
      <w:r w:rsidRPr="009E1EBC" w:rsidR="009E1EBC">
        <w:rPr>
          <w:noProof/>
        </w:rPr>
        <w:t>1</w:t>
      </w:r>
      <w:r w:rsidRPr="009E1EBC">
        <w:fldChar w:fldCharType="end"/>
      </w:r>
      <w:r w:rsidRPr="009E1EBC" w:rsidR="0077175D">
        <w:t xml:space="preserve">.  The case originated in </w:t>
      </w:r>
      <w:r w:rsidRPr="009E1EBC">
        <w:t>an application (no. 66640/12)</w:t>
      </w:r>
      <w:r w:rsidRPr="009E1EBC" w:rsidR="0077175D">
        <w:t xml:space="preserve"> against </w:t>
      </w:r>
      <w:r w:rsidRPr="009E1EBC">
        <w:t>Romania</w:t>
      </w:r>
      <w:r w:rsidRPr="009E1EBC" w:rsidR="0077175D">
        <w:t xml:space="preserve"> lodged with the </w:t>
      </w:r>
      <w:r w:rsidRPr="009E1EBC">
        <w:t>Court under Article 34</w:t>
      </w:r>
      <w:r w:rsidRPr="009E1EBC" w:rsidR="0077175D">
        <w:t xml:space="preserve"> of the Convention for the Protection of Human Rights and Fundamental Freedoms (“the Convention”) by </w:t>
      </w:r>
      <w:r w:rsidRPr="009E1EBC">
        <w:t xml:space="preserve">a Romanian national, Mr </w:t>
      </w:r>
      <w:proofErr w:type="spellStart"/>
      <w:r w:rsidRPr="009E1EBC">
        <w:t>Ilie</w:t>
      </w:r>
      <w:proofErr w:type="spellEnd"/>
      <w:r w:rsidRPr="009E1EBC">
        <w:t xml:space="preserve"> </w:t>
      </w:r>
      <w:proofErr w:type="spellStart"/>
      <w:r w:rsidRPr="009E1EBC">
        <w:t>Stana</w:t>
      </w:r>
      <w:proofErr w:type="spellEnd"/>
      <w:r w:rsidRPr="009E1EBC">
        <w:t xml:space="preserve"> (“the applicant”), on 8 October 2012</w:t>
      </w:r>
      <w:r w:rsidRPr="009E1EBC" w:rsidR="0077175D">
        <w:t>.</w:t>
      </w:r>
    </w:p>
    <w:p w:rsidRPr="009E1EBC" w:rsidR="00D420F3" w:rsidP="009E1EBC" w:rsidRDefault="00B0680F">
      <w:pPr>
        <w:pStyle w:val="ECHRPara"/>
      </w:pPr>
      <w:r w:rsidRPr="009E1EBC">
        <w:fldChar w:fldCharType="begin"/>
      </w:r>
      <w:r w:rsidRPr="009E1EBC">
        <w:instrText xml:space="preserve"> SEQ level0 \*arabic </w:instrText>
      </w:r>
      <w:r w:rsidRPr="009E1EBC">
        <w:fldChar w:fldCharType="separate"/>
      </w:r>
      <w:r w:rsidRPr="009E1EBC" w:rsidR="009E1EBC">
        <w:rPr>
          <w:noProof/>
        </w:rPr>
        <w:t>2</w:t>
      </w:r>
      <w:r w:rsidRPr="009E1EBC">
        <w:fldChar w:fldCharType="end"/>
      </w:r>
      <w:r w:rsidRPr="009E1EBC" w:rsidR="0077175D">
        <w:t>.  </w:t>
      </w:r>
      <w:r w:rsidRPr="009E1EBC">
        <w:t xml:space="preserve">The applicant was represented by Mr </w:t>
      </w:r>
      <w:r w:rsidRPr="009E1EBC" w:rsidR="00072E3A">
        <w:t>A.</w:t>
      </w:r>
      <w:r w:rsidRPr="009E1EBC">
        <w:t xml:space="preserve"> </w:t>
      </w:r>
      <w:proofErr w:type="spellStart"/>
      <w:r w:rsidRPr="009E1EBC">
        <w:t>Bărăgan</w:t>
      </w:r>
      <w:proofErr w:type="spellEnd"/>
      <w:r w:rsidRPr="009E1EBC" w:rsidR="000C6FDA">
        <w:t>,</w:t>
      </w:r>
      <w:r w:rsidRPr="009E1EBC">
        <w:t xml:space="preserve"> a lawyer </w:t>
      </w:r>
      <w:r w:rsidRPr="009E1EBC" w:rsidR="00072E3A">
        <w:t>practising</w:t>
      </w:r>
      <w:r w:rsidRPr="009E1EBC">
        <w:t xml:space="preserve"> in </w:t>
      </w:r>
      <w:proofErr w:type="spellStart"/>
      <w:r w:rsidRPr="009E1EBC">
        <w:t>Timi</w:t>
      </w:r>
      <w:r w:rsidRPr="009E1EBC" w:rsidR="00072E3A">
        <w:rPr>
          <w:rFonts w:cstheme="minorHAnsi"/>
        </w:rPr>
        <w:t>ş</w:t>
      </w:r>
      <w:r w:rsidRPr="009E1EBC">
        <w:t>oara</w:t>
      </w:r>
      <w:proofErr w:type="spellEnd"/>
      <w:r w:rsidRPr="009E1EBC">
        <w:t xml:space="preserve">. </w:t>
      </w:r>
      <w:r w:rsidRPr="009E1EBC" w:rsidR="0077175D">
        <w:t xml:space="preserve">The </w:t>
      </w:r>
      <w:r w:rsidRPr="009E1EBC">
        <w:t>Romanian</w:t>
      </w:r>
      <w:r w:rsidRPr="009E1EBC" w:rsidR="0077175D">
        <w:t xml:space="preserve"> Government (“the Government”) were represented by their Agent, M</w:t>
      </w:r>
      <w:r w:rsidRPr="009E1EBC" w:rsidR="00072E3A">
        <w:t xml:space="preserve">s C. </w:t>
      </w:r>
      <w:proofErr w:type="spellStart"/>
      <w:r w:rsidRPr="009E1EBC" w:rsidR="00072E3A">
        <w:t>Brumar</w:t>
      </w:r>
      <w:proofErr w:type="spellEnd"/>
      <w:r w:rsidRPr="009E1EBC" w:rsidR="00072E3A">
        <w:t>, of the Ministry of Foreign Affairs</w:t>
      </w:r>
      <w:r w:rsidRPr="009E1EBC" w:rsidR="0077175D">
        <w:t>.</w:t>
      </w:r>
    </w:p>
    <w:p w:rsidRPr="009E1EBC" w:rsidR="00D420F3" w:rsidP="009E1EBC" w:rsidRDefault="00B0680F">
      <w:pPr>
        <w:pStyle w:val="ECHRPara"/>
      </w:pPr>
      <w:r w:rsidRPr="009E1EBC">
        <w:fldChar w:fldCharType="begin"/>
      </w:r>
      <w:r w:rsidRPr="009E1EBC">
        <w:instrText xml:space="preserve"> SEQ level0 \*arabic </w:instrText>
      </w:r>
      <w:r w:rsidRPr="009E1EBC">
        <w:fldChar w:fldCharType="separate"/>
      </w:r>
      <w:r w:rsidRPr="009E1EBC" w:rsidR="009E1EBC">
        <w:rPr>
          <w:noProof/>
        </w:rPr>
        <w:t>3</w:t>
      </w:r>
      <w:r w:rsidRPr="009E1EBC">
        <w:fldChar w:fldCharType="end"/>
      </w:r>
      <w:r w:rsidRPr="009E1EBC" w:rsidR="0077175D">
        <w:t>.  </w:t>
      </w:r>
      <w:r w:rsidRPr="009E1EBC">
        <w:t xml:space="preserve">On </w:t>
      </w:r>
      <w:r w:rsidRPr="009E1EBC">
        <w:rPr>
          <w:szCs w:val="24"/>
        </w:rPr>
        <w:t>24 February 2016</w:t>
      </w:r>
      <w:r w:rsidRPr="009E1EBC" w:rsidR="0077175D">
        <w:t xml:space="preserve"> the </w:t>
      </w:r>
      <w:r w:rsidRPr="009E1EBC" w:rsidR="000C6FDA">
        <w:t xml:space="preserve">Government were given notice of the </w:t>
      </w:r>
      <w:r w:rsidRPr="009E1EBC">
        <w:t xml:space="preserve">complaint concerning </w:t>
      </w:r>
      <w:r w:rsidRPr="009E1EBC" w:rsidR="00072E3A">
        <w:t>Article 8 of the Convention</w:t>
      </w:r>
      <w:r w:rsidRPr="009E1EBC">
        <w:t xml:space="preserve"> and the remainder of the application was declared inadmissible</w:t>
      </w:r>
      <w:r w:rsidRPr="009E1EBC">
        <w:rPr>
          <w:szCs w:val="24"/>
        </w:rPr>
        <w:t xml:space="preserve"> </w:t>
      </w:r>
      <w:r w:rsidRPr="009E1EBC">
        <w:t>pursuant to Rule 54 § 3 of the Rules</w:t>
      </w:r>
      <w:r w:rsidRPr="009E1EBC" w:rsidR="00A96A11">
        <w:t> </w:t>
      </w:r>
      <w:r w:rsidRPr="009E1EBC">
        <w:t>of Court</w:t>
      </w:r>
      <w:r w:rsidRPr="009E1EBC" w:rsidR="0077175D">
        <w:t>.</w:t>
      </w:r>
    </w:p>
    <w:p w:rsidRPr="009E1EBC" w:rsidR="00D420F3" w:rsidP="009E1EBC" w:rsidRDefault="0077175D">
      <w:pPr>
        <w:pStyle w:val="ECHRTitle1"/>
      </w:pPr>
      <w:r w:rsidRPr="009E1EBC">
        <w:t>THE FACTS</w:t>
      </w:r>
    </w:p>
    <w:p w:rsidRPr="009E1EBC" w:rsidR="00D420F3" w:rsidP="009E1EBC" w:rsidRDefault="0077175D">
      <w:pPr>
        <w:pStyle w:val="ECHRHeading1"/>
      </w:pPr>
      <w:r w:rsidRPr="009E1EBC">
        <w:t>I.  THE CIRCUMSTANCES OF THE CASE</w:t>
      </w:r>
    </w:p>
    <w:p w:rsidRPr="009E1EBC" w:rsidR="00D420F3" w:rsidP="009E1EBC" w:rsidRDefault="00B0680F">
      <w:pPr>
        <w:pStyle w:val="ECHRPara"/>
      </w:pPr>
      <w:r w:rsidRPr="009E1EBC">
        <w:fldChar w:fldCharType="begin"/>
      </w:r>
      <w:r w:rsidRPr="009E1EBC">
        <w:instrText xml:space="preserve"> SEQ level0 \*arabic </w:instrText>
      </w:r>
      <w:r w:rsidRPr="009E1EBC">
        <w:fldChar w:fldCharType="separate"/>
      </w:r>
      <w:r w:rsidRPr="009E1EBC" w:rsidR="009E1EBC">
        <w:rPr>
          <w:noProof/>
        </w:rPr>
        <w:t>4</w:t>
      </w:r>
      <w:r w:rsidRPr="009E1EBC">
        <w:fldChar w:fldCharType="end"/>
      </w:r>
      <w:r w:rsidRPr="009E1EBC" w:rsidR="0077175D">
        <w:t xml:space="preserve">.  The </w:t>
      </w:r>
      <w:r w:rsidRPr="009E1EBC">
        <w:t>applicant was born in 1951 and lives</w:t>
      </w:r>
      <w:r w:rsidRPr="009E1EBC" w:rsidR="0077175D">
        <w:t xml:space="preserve"> in </w:t>
      </w:r>
      <w:proofErr w:type="spellStart"/>
      <w:r w:rsidRPr="009E1EBC">
        <w:t>Timi</w:t>
      </w:r>
      <w:r w:rsidRPr="009E1EBC" w:rsidR="00072E3A">
        <w:rPr>
          <w:rFonts w:cstheme="minorHAnsi"/>
        </w:rPr>
        <w:t>ş</w:t>
      </w:r>
      <w:r w:rsidRPr="009E1EBC">
        <w:t>oara</w:t>
      </w:r>
      <w:proofErr w:type="spellEnd"/>
      <w:r w:rsidRPr="009E1EBC" w:rsidR="0077175D">
        <w:t>.</w:t>
      </w:r>
    </w:p>
    <w:p w:rsidRPr="009E1EBC" w:rsidR="00B0680F" w:rsidP="009E1EBC" w:rsidRDefault="00B0680F">
      <w:pPr>
        <w:pStyle w:val="ECHRPara"/>
      </w:pPr>
      <w:r w:rsidRPr="009E1EBC">
        <w:fldChar w:fldCharType="begin"/>
      </w:r>
      <w:r w:rsidRPr="009E1EBC">
        <w:instrText xml:space="preserve"> SEQ level0 \*arabic </w:instrText>
      </w:r>
      <w:r w:rsidRPr="009E1EBC">
        <w:fldChar w:fldCharType="separate"/>
      </w:r>
      <w:r w:rsidRPr="009E1EBC" w:rsidR="009E1EBC">
        <w:rPr>
          <w:noProof/>
        </w:rPr>
        <w:t>5</w:t>
      </w:r>
      <w:r w:rsidRPr="009E1EBC">
        <w:fldChar w:fldCharType="end"/>
      </w:r>
      <w:r w:rsidRPr="009E1EBC" w:rsidR="0077175D">
        <w:t>.  </w:t>
      </w:r>
      <w:r w:rsidRPr="009E1EBC">
        <w:t xml:space="preserve">On 20 February 2003 the applicant, a bank </w:t>
      </w:r>
      <w:r w:rsidRPr="009E1EBC" w:rsidR="005171E5">
        <w:t xml:space="preserve">manager </w:t>
      </w:r>
      <w:r w:rsidRPr="009E1EBC">
        <w:t xml:space="preserve">at that time, was placed </w:t>
      </w:r>
      <w:r w:rsidRPr="009E1EBC" w:rsidR="000C6FDA">
        <w:t xml:space="preserve">in </w:t>
      </w:r>
      <w:r w:rsidRPr="009E1EBC">
        <w:t>pre-trial detention by the Bucharest Anti-Corruption Department of the Prosecutor</w:t>
      </w:r>
      <w:r w:rsidRPr="009E1EBC" w:rsidR="009E1EBC">
        <w:t>’</w:t>
      </w:r>
      <w:r w:rsidRPr="009E1EBC">
        <w:t>s Office</w:t>
      </w:r>
      <w:r w:rsidRPr="009E1EBC" w:rsidR="000C6FDA">
        <w:t>,</w:t>
      </w:r>
      <w:r w:rsidRPr="009E1EBC">
        <w:t xml:space="preserve"> on a charge of </w:t>
      </w:r>
      <w:r w:rsidRPr="009E1EBC" w:rsidR="000C6FDA">
        <w:t>taking a</w:t>
      </w:r>
      <w:r w:rsidRPr="009E1EBC">
        <w:t xml:space="preserve"> bribe in order to favourably influence the acceptance of a loan requested by M.G.</w:t>
      </w:r>
    </w:p>
    <w:bookmarkStart w:name="par6" w:id="1"/>
    <w:p w:rsidRPr="009E1EBC" w:rsidR="00B0680F" w:rsidP="009E1EBC" w:rsidRDefault="007C6DA7">
      <w:pPr>
        <w:pStyle w:val="ECHRPara"/>
      </w:pPr>
      <w:r w:rsidRPr="009E1EBC">
        <w:fldChar w:fldCharType="begin"/>
      </w:r>
      <w:r w:rsidRPr="009E1EBC">
        <w:instrText xml:space="preserve"> SEQ level0 \*arabic </w:instrText>
      </w:r>
      <w:r w:rsidRPr="009E1EBC">
        <w:fldChar w:fldCharType="separate"/>
      </w:r>
      <w:r w:rsidRPr="009E1EBC" w:rsidR="009E1EBC">
        <w:rPr>
          <w:noProof/>
        </w:rPr>
        <w:t>6</w:t>
      </w:r>
      <w:r w:rsidRPr="009E1EBC">
        <w:fldChar w:fldCharType="end"/>
      </w:r>
      <w:bookmarkEnd w:id="1"/>
      <w:r w:rsidRPr="009E1EBC">
        <w:t>.  </w:t>
      </w:r>
      <w:r w:rsidRPr="009E1EBC" w:rsidR="00B0680F">
        <w:t xml:space="preserve">By a </w:t>
      </w:r>
      <w:r w:rsidRPr="009E1EBC" w:rsidR="000C6FDA">
        <w:t xml:space="preserve">final </w:t>
      </w:r>
      <w:r w:rsidRPr="009E1EBC" w:rsidR="00B0680F">
        <w:t xml:space="preserve">judgment </w:t>
      </w:r>
      <w:r w:rsidRPr="009E1EBC" w:rsidR="000C6FDA">
        <w:t>delivered</w:t>
      </w:r>
      <w:r w:rsidRPr="009E1EBC" w:rsidR="00B0680F">
        <w:t xml:space="preserve"> on 13 April 2012 the High Court of Cassation and Justice</w:t>
      </w:r>
      <w:r w:rsidRPr="009E1EBC" w:rsidR="008C6D8C">
        <w:t xml:space="preserve"> (“the High Court”</w:t>
      </w:r>
      <w:r w:rsidRPr="009E1EBC" w:rsidR="00F310BD">
        <w:t>) convicted</w:t>
      </w:r>
      <w:r w:rsidRPr="009E1EBC" w:rsidR="00B0680F">
        <w:t xml:space="preserve"> the applicant </w:t>
      </w:r>
      <w:r w:rsidRPr="009E1EBC" w:rsidR="000C6FDA">
        <w:t xml:space="preserve">of </w:t>
      </w:r>
      <w:r w:rsidRPr="009E1EBC" w:rsidR="00B0680F">
        <w:t xml:space="preserve">taking </w:t>
      </w:r>
      <w:r w:rsidRPr="009E1EBC" w:rsidR="000C6FDA">
        <w:t xml:space="preserve">a </w:t>
      </w:r>
      <w:r w:rsidRPr="009E1EBC" w:rsidR="00B0680F">
        <w:t xml:space="preserve">bribe. Among the evidence which led to his conviction was the transcript of a phone conversation </w:t>
      </w:r>
      <w:r w:rsidRPr="009E1EBC" w:rsidR="000C6FDA">
        <w:t xml:space="preserve">between </w:t>
      </w:r>
      <w:r w:rsidRPr="009E1EBC" w:rsidR="00B0680F">
        <w:t xml:space="preserve">the applicant </w:t>
      </w:r>
      <w:r w:rsidRPr="009E1EBC" w:rsidR="000C6FDA">
        <w:t>and</w:t>
      </w:r>
      <w:r w:rsidRPr="009E1EBC" w:rsidR="00B0680F">
        <w:t xml:space="preserve"> M.G. on 16</w:t>
      </w:r>
      <w:r w:rsidRPr="009E1EBC" w:rsidR="008C6D8C">
        <w:t> </w:t>
      </w:r>
      <w:r w:rsidRPr="009E1EBC" w:rsidR="00B0680F">
        <w:t>September 2002.</w:t>
      </w:r>
    </w:p>
    <w:bookmarkStart w:name="par7" w:id="2"/>
    <w:p w:rsidRPr="009E1EBC" w:rsidR="00B0680F" w:rsidP="009E1EBC" w:rsidRDefault="007C6DA7">
      <w:pPr>
        <w:pStyle w:val="ECHRPara"/>
      </w:pPr>
      <w:r w:rsidRPr="009E1EBC">
        <w:fldChar w:fldCharType="begin"/>
      </w:r>
      <w:r w:rsidRPr="009E1EBC">
        <w:instrText xml:space="preserve"> SEQ level0 \*arabic </w:instrText>
      </w:r>
      <w:r w:rsidRPr="009E1EBC">
        <w:fldChar w:fldCharType="separate"/>
      </w:r>
      <w:r w:rsidRPr="009E1EBC" w:rsidR="009E1EBC">
        <w:rPr>
          <w:noProof/>
        </w:rPr>
        <w:t>7</w:t>
      </w:r>
      <w:r w:rsidRPr="009E1EBC">
        <w:fldChar w:fldCharType="end"/>
      </w:r>
      <w:bookmarkEnd w:id="2"/>
      <w:r w:rsidRPr="009E1EBC">
        <w:t>.  </w:t>
      </w:r>
      <w:r w:rsidRPr="009E1EBC" w:rsidR="00B0680F">
        <w:t xml:space="preserve">The conversation had been intercepted on the basis of a warrant issued by the prosecutor </w:t>
      </w:r>
      <w:r w:rsidRPr="009E1EBC" w:rsidR="000C6FDA">
        <w:t>under</w:t>
      </w:r>
      <w:r w:rsidRPr="009E1EBC" w:rsidR="00B0680F">
        <w:t xml:space="preserve"> the provisions of Law </w:t>
      </w:r>
      <w:r w:rsidRPr="009E1EBC" w:rsidR="00CA2981">
        <w:t>n</w:t>
      </w:r>
      <w:r w:rsidRPr="009E1EBC" w:rsidR="00B0680F">
        <w:t>o. 51/1991 on national security</w:t>
      </w:r>
      <w:r w:rsidRPr="009E1EBC" w:rsidR="00F310BD">
        <w:t xml:space="preserve"> (“</w:t>
      </w:r>
      <w:r w:rsidRPr="009E1EBC" w:rsidR="000C6FDA">
        <w:t>L</w:t>
      </w:r>
      <w:r w:rsidRPr="009E1EBC" w:rsidR="00F310BD">
        <w:t>aw no. 51/1991</w:t>
      </w:r>
      <w:r w:rsidRPr="009E1EBC" w:rsidR="00CA2981">
        <w:t>”</w:t>
      </w:r>
      <w:r w:rsidRPr="009E1EBC" w:rsidR="00F310BD">
        <w:t>)</w:t>
      </w:r>
      <w:r w:rsidRPr="009E1EBC" w:rsidR="00B0680F">
        <w:t xml:space="preserve"> for </w:t>
      </w:r>
      <w:r w:rsidRPr="009E1EBC" w:rsidR="000C6FDA">
        <w:t xml:space="preserve">the </w:t>
      </w:r>
      <w:r w:rsidRPr="009E1EBC" w:rsidR="00B0680F">
        <w:t>period between 13 August and 12</w:t>
      </w:r>
      <w:r w:rsidRPr="009E1EBC" w:rsidR="00F310BD">
        <w:t> </w:t>
      </w:r>
      <w:r w:rsidRPr="009E1EBC" w:rsidR="00B0680F">
        <w:t>November 2002.</w:t>
      </w:r>
    </w:p>
    <w:bookmarkStart w:name="motive_recurs" w:id="3"/>
    <w:p w:rsidRPr="009E1EBC" w:rsidR="00B0680F" w:rsidP="009E1EBC" w:rsidRDefault="007C6DA7">
      <w:pPr>
        <w:pStyle w:val="ECHRPara"/>
      </w:pPr>
      <w:r w:rsidRPr="009E1EBC">
        <w:fldChar w:fldCharType="begin"/>
      </w:r>
      <w:r w:rsidRPr="009E1EBC">
        <w:instrText xml:space="preserve"> SEQ level0 \*arabic </w:instrText>
      </w:r>
      <w:r w:rsidRPr="009E1EBC">
        <w:fldChar w:fldCharType="separate"/>
      </w:r>
      <w:r w:rsidRPr="009E1EBC" w:rsidR="009E1EBC">
        <w:rPr>
          <w:noProof/>
        </w:rPr>
        <w:t>8</w:t>
      </w:r>
      <w:r w:rsidRPr="009E1EBC">
        <w:fldChar w:fldCharType="end"/>
      </w:r>
      <w:bookmarkEnd w:id="3"/>
      <w:r w:rsidRPr="009E1EBC">
        <w:t>.  </w:t>
      </w:r>
      <w:r w:rsidRPr="009E1EBC" w:rsidR="00B0680F">
        <w:t xml:space="preserve">The applicant complained before the domestic courts about the lawfulness of the interception of his phone conversation </w:t>
      </w:r>
      <w:r w:rsidRPr="009E1EBC" w:rsidR="000C6FDA">
        <w:t>and</w:t>
      </w:r>
      <w:r w:rsidRPr="009E1EBC" w:rsidR="00B0680F">
        <w:t xml:space="preserve"> the accuracy of </w:t>
      </w:r>
      <w:r w:rsidRPr="009E1EBC" w:rsidR="000C6FDA">
        <w:t xml:space="preserve">the </w:t>
      </w:r>
      <w:r w:rsidRPr="009E1EBC" w:rsidR="00B0680F">
        <w:t>transcript. He alleged that the Court had held that Law no.</w:t>
      </w:r>
      <w:r w:rsidRPr="009E1EBC">
        <w:t> </w:t>
      </w:r>
      <w:r w:rsidRPr="009E1EBC" w:rsidR="00B0680F">
        <w:t xml:space="preserve">51/1991 did not </w:t>
      </w:r>
      <w:r w:rsidRPr="009E1EBC" w:rsidR="000C6FDA">
        <w:t xml:space="preserve">afford </w:t>
      </w:r>
      <w:r w:rsidRPr="009E1EBC" w:rsidR="00B0680F">
        <w:t xml:space="preserve">the guarantees required under Article 8 of the Convention. However, the High Court </w:t>
      </w:r>
      <w:r w:rsidRPr="009E1EBC" w:rsidR="000C6FDA">
        <w:t xml:space="preserve">merely </w:t>
      </w:r>
      <w:r w:rsidRPr="009E1EBC" w:rsidR="00B0680F">
        <w:t xml:space="preserve">replied that the impugned interception </w:t>
      </w:r>
      <w:r w:rsidRPr="009E1EBC" w:rsidR="000C6FDA">
        <w:t xml:space="preserve">had been </w:t>
      </w:r>
      <w:r w:rsidRPr="009E1EBC" w:rsidR="00B0680F">
        <w:t>lawful and within the scope of Law no. 51/1991.</w:t>
      </w:r>
    </w:p>
    <w:p w:rsidRPr="009E1EBC" w:rsidR="00D420F3" w:rsidP="009E1EBC" w:rsidRDefault="0077175D">
      <w:pPr>
        <w:pStyle w:val="ECHRHeading1"/>
      </w:pPr>
      <w:r w:rsidRPr="009E1EBC">
        <w:t>II.</w:t>
      </w:r>
      <w:proofErr w:type="gramStart"/>
      <w:r w:rsidRPr="009E1EBC">
        <w:t>  RELEVANT</w:t>
      </w:r>
      <w:proofErr w:type="gramEnd"/>
      <w:r w:rsidRPr="009E1EBC">
        <w:t xml:space="preserve"> DOMESTIC LAW</w:t>
      </w:r>
    </w:p>
    <w:p w:rsidRPr="009E1EBC" w:rsidR="000800AF" w:rsidP="009E1EBC" w:rsidRDefault="00B0680F">
      <w:pPr>
        <w:pStyle w:val="ECHRPara"/>
      </w:pPr>
      <w:r w:rsidRPr="009E1EBC">
        <w:fldChar w:fldCharType="begin"/>
      </w:r>
      <w:r w:rsidRPr="009E1EBC">
        <w:instrText xml:space="preserve"> SEQ level0 \*arabic </w:instrText>
      </w:r>
      <w:r w:rsidRPr="009E1EBC">
        <w:fldChar w:fldCharType="separate"/>
      </w:r>
      <w:r w:rsidRPr="009E1EBC" w:rsidR="009E1EBC">
        <w:rPr>
          <w:noProof/>
        </w:rPr>
        <w:t>9</w:t>
      </w:r>
      <w:r w:rsidRPr="009E1EBC">
        <w:fldChar w:fldCharType="end"/>
      </w:r>
      <w:r w:rsidRPr="009E1EBC" w:rsidR="0077175D">
        <w:t>.  </w:t>
      </w:r>
      <w:r w:rsidRPr="009E1EBC">
        <w:t xml:space="preserve">The legislation in force at the relevant time concerning telephone tapping is described in </w:t>
      </w:r>
      <w:proofErr w:type="spellStart"/>
      <w:r w:rsidRPr="009E1EBC" w:rsidR="000800AF">
        <w:rPr>
          <w:i/>
        </w:rPr>
        <w:t>Dumitru</w:t>
      </w:r>
      <w:proofErr w:type="spellEnd"/>
      <w:r w:rsidRPr="009E1EBC" w:rsidR="000800AF">
        <w:rPr>
          <w:i/>
        </w:rPr>
        <w:t xml:space="preserve"> </w:t>
      </w:r>
      <w:proofErr w:type="spellStart"/>
      <w:r w:rsidRPr="009E1EBC" w:rsidR="000800AF">
        <w:rPr>
          <w:i/>
        </w:rPr>
        <w:t>Popescu</w:t>
      </w:r>
      <w:proofErr w:type="spellEnd"/>
      <w:r w:rsidRPr="009E1EBC" w:rsidR="000800AF">
        <w:rPr>
          <w:i/>
        </w:rPr>
        <w:t xml:space="preserve"> v. Romania (no. 2)</w:t>
      </w:r>
      <w:r w:rsidRPr="009E1EBC" w:rsidR="00832A51">
        <w:t xml:space="preserve"> (no. </w:t>
      </w:r>
      <w:r w:rsidRPr="009E1EBC" w:rsidR="000800AF">
        <w:t>71525/01, §§</w:t>
      </w:r>
      <w:r w:rsidRPr="009E1EBC" w:rsidR="00A96A11">
        <w:t> </w:t>
      </w:r>
      <w:r w:rsidRPr="009E1EBC" w:rsidR="000800AF">
        <w:t>39-46, 26 April 2007).</w:t>
      </w:r>
    </w:p>
    <w:p w:rsidRPr="009E1EBC" w:rsidR="00D420F3" w:rsidP="009E1EBC" w:rsidRDefault="0077175D">
      <w:pPr>
        <w:pStyle w:val="ECHRTitle1"/>
      </w:pPr>
      <w:r w:rsidRPr="009E1EBC">
        <w:t>THE LAW</w:t>
      </w:r>
    </w:p>
    <w:p w:rsidRPr="009E1EBC" w:rsidR="00D420F3" w:rsidP="009E1EBC" w:rsidRDefault="0077175D">
      <w:pPr>
        <w:pStyle w:val="ECHRHeading1"/>
      </w:pPr>
      <w:r w:rsidRPr="009E1EBC">
        <w:t xml:space="preserve">I.  ALLEGED VIOLATION OF ARTICLE </w:t>
      </w:r>
      <w:r w:rsidRPr="009E1EBC" w:rsidR="000800AF">
        <w:t>8</w:t>
      </w:r>
      <w:r w:rsidRPr="009E1EBC">
        <w:t xml:space="preserve"> OF THE CONVENTION</w:t>
      </w:r>
    </w:p>
    <w:p w:rsidRPr="009E1EBC" w:rsidR="00D420F3" w:rsidP="009E1EBC" w:rsidRDefault="00B0680F">
      <w:pPr>
        <w:pStyle w:val="ECHRPara"/>
      </w:pPr>
      <w:r w:rsidRPr="009E1EBC">
        <w:fldChar w:fldCharType="begin"/>
      </w:r>
      <w:r w:rsidRPr="009E1EBC">
        <w:instrText xml:space="preserve"> SEQ level0 \*arabic </w:instrText>
      </w:r>
      <w:r w:rsidRPr="009E1EBC">
        <w:fldChar w:fldCharType="separate"/>
      </w:r>
      <w:r w:rsidRPr="009E1EBC" w:rsidR="009E1EBC">
        <w:rPr>
          <w:noProof/>
        </w:rPr>
        <w:t>10</w:t>
      </w:r>
      <w:r w:rsidRPr="009E1EBC">
        <w:fldChar w:fldCharType="end"/>
      </w:r>
      <w:r w:rsidRPr="009E1EBC" w:rsidR="0077175D">
        <w:t xml:space="preserve">.  The applicant complained that </w:t>
      </w:r>
      <w:r w:rsidRPr="009E1EBC" w:rsidR="000800AF">
        <w:t xml:space="preserve">the interception of his phone conversation </w:t>
      </w:r>
      <w:r w:rsidRPr="009E1EBC" w:rsidR="000C6FDA">
        <w:t xml:space="preserve">had been </w:t>
      </w:r>
      <w:r w:rsidRPr="009E1EBC" w:rsidR="000800AF">
        <w:t>unlawful, in violation of his right to</w:t>
      </w:r>
      <w:r w:rsidRPr="009E1EBC" w:rsidR="00C41753">
        <w:t xml:space="preserve"> respect for his</w:t>
      </w:r>
      <w:r w:rsidRPr="009E1EBC" w:rsidR="000800AF">
        <w:t xml:space="preserve"> private life</w:t>
      </w:r>
      <w:r w:rsidRPr="009E1EBC" w:rsidR="0077175D">
        <w:t xml:space="preserve"> as provided </w:t>
      </w:r>
      <w:r w:rsidRPr="009E1EBC" w:rsidR="000C6FDA">
        <w:t xml:space="preserve">for </w:t>
      </w:r>
      <w:r w:rsidRPr="009E1EBC" w:rsidR="0077175D">
        <w:t xml:space="preserve">in Article </w:t>
      </w:r>
      <w:r w:rsidRPr="009E1EBC" w:rsidR="000800AF">
        <w:t>8</w:t>
      </w:r>
      <w:r w:rsidRPr="009E1EBC" w:rsidR="0077175D">
        <w:t xml:space="preserve"> of the Convention, which reads as follows:</w:t>
      </w:r>
    </w:p>
    <w:p w:rsidRPr="009E1EBC" w:rsidR="000800AF" w:rsidP="009E1EBC" w:rsidRDefault="000800AF">
      <w:pPr>
        <w:pStyle w:val="ECHRParaQuote"/>
      </w:pPr>
      <w:r w:rsidRPr="009E1EBC">
        <w:t>“1.</w:t>
      </w:r>
      <w:proofErr w:type="gramStart"/>
      <w:r w:rsidRPr="009E1EBC">
        <w:t>  Everyone</w:t>
      </w:r>
      <w:proofErr w:type="gramEnd"/>
      <w:r w:rsidRPr="009E1EBC">
        <w:t xml:space="preserve"> has the right to respect for his private and family life, his home and his correspondence.</w:t>
      </w:r>
    </w:p>
    <w:p w:rsidRPr="009E1EBC" w:rsidR="000800AF" w:rsidP="009E1EBC" w:rsidRDefault="000800AF">
      <w:pPr>
        <w:pStyle w:val="ECHRParaQuote"/>
      </w:pPr>
      <w:r w:rsidRPr="009E1EBC">
        <w:t>2.</w:t>
      </w:r>
      <w:proofErr w:type="gramStart"/>
      <w:r w:rsidRPr="009E1EBC">
        <w:t>  There</w:t>
      </w:r>
      <w:proofErr w:type="gramEnd"/>
      <w:r w:rsidRPr="009E1EBC">
        <w:t xml:space="preserve"> shall be no interference by a public authority with the exercise of this right except such as is in accordance with the law and is necessary in a democratic society in the interests of national security, public safety or the economic well-being of the country, for the prevention of disorder or crime, for the protection of health or morals, or for the protection of the rights and freedoms of others.”</w:t>
      </w:r>
    </w:p>
    <w:p w:rsidRPr="009E1EBC" w:rsidR="00D420F3" w:rsidP="009E1EBC" w:rsidRDefault="0077175D">
      <w:pPr>
        <w:pStyle w:val="ECHRHeading2"/>
      </w:pPr>
      <w:r w:rsidRPr="009E1EBC">
        <w:t>A.  Admissibility</w:t>
      </w:r>
    </w:p>
    <w:p w:rsidRPr="009E1EBC" w:rsidR="000800AF" w:rsidP="009E1EBC" w:rsidRDefault="000800AF">
      <w:pPr>
        <w:pStyle w:val="ECHRPara"/>
      </w:pPr>
      <w:r w:rsidRPr="009E1EBC">
        <w:fldChar w:fldCharType="begin"/>
      </w:r>
      <w:r w:rsidRPr="009E1EBC">
        <w:instrText xml:space="preserve"> SEQ level0 \*arabic </w:instrText>
      </w:r>
      <w:r w:rsidRPr="009E1EBC">
        <w:fldChar w:fldCharType="separate"/>
      </w:r>
      <w:r w:rsidRPr="009E1EBC" w:rsidR="009E1EBC">
        <w:rPr>
          <w:noProof/>
        </w:rPr>
        <w:t>11</w:t>
      </w:r>
      <w:r w:rsidRPr="009E1EBC">
        <w:fldChar w:fldCharType="end"/>
      </w:r>
      <w:r w:rsidRPr="009E1EBC">
        <w:t>. </w:t>
      </w:r>
      <w:r w:rsidRPr="009E1EBC" w:rsidR="00A96A11">
        <w:t> </w:t>
      </w:r>
      <w:r w:rsidRPr="009E1EBC" w:rsidR="008C6D8C">
        <w:t xml:space="preserve">The Government contended that the applicant had not exhausted domestic remedies. They </w:t>
      </w:r>
      <w:r w:rsidRPr="009E1EBC" w:rsidR="000C6FDA">
        <w:t xml:space="preserve">maintained </w:t>
      </w:r>
      <w:r w:rsidRPr="009E1EBC" w:rsidR="008C6D8C">
        <w:t xml:space="preserve">that, </w:t>
      </w:r>
      <w:r w:rsidRPr="009E1EBC" w:rsidR="000C6FDA">
        <w:t>in the context</w:t>
      </w:r>
      <w:r w:rsidRPr="009E1EBC" w:rsidR="008C6D8C">
        <w:t xml:space="preserve"> of </w:t>
      </w:r>
      <w:r w:rsidRPr="009E1EBC" w:rsidR="000C6FDA">
        <w:t xml:space="preserve">the </w:t>
      </w:r>
      <w:r w:rsidRPr="009E1EBC" w:rsidR="008C6D8C">
        <w:t>criminal proceedings</w:t>
      </w:r>
      <w:r w:rsidRPr="009E1EBC" w:rsidR="00384FD1">
        <w:t xml:space="preserve"> against the applicant</w:t>
      </w:r>
      <w:r w:rsidRPr="009E1EBC" w:rsidR="008C6D8C">
        <w:t>, the High Court could only examine the conformity of the interception with the legal norms then in force</w:t>
      </w:r>
      <w:r w:rsidRPr="009E1EBC" w:rsidR="00BA7B26">
        <w:t xml:space="preserve"> and that no complaint under Article 8 of the Convention had been raised in </w:t>
      </w:r>
      <w:r w:rsidRPr="009E1EBC" w:rsidR="000C6FDA">
        <w:t xml:space="preserve">that </w:t>
      </w:r>
      <w:r w:rsidRPr="009E1EBC" w:rsidR="00BA7B26">
        <w:t>regard</w:t>
      </w:r>
      <w:r w:rsidRPr="009E1EBC" w:rsidR="008C6D8C">
        <w:t xml:space="preserve">. </w:t>
      </w:r>
      <w:r w:rsidRPr="009E1EBC" w:rsidR="00C41753">
        <w:t>Mor</w:t>
      </w:r>
      <w:r w:rsidRPr="009E1EBC" w:rsidR="008C6D8C">
        <w:t>e</w:t>
      </w:r>
      <w:r w:rsidRPr="009E1EBC" w:rsidR="00C41753">
        <w:t>o</w:t>
      </w:r>
      <w:r w:rsidRPr="009E1EBC" w:rsidR="008C6D8C">
        <w:t xml:space="preserve">ver, the applicant had had </w:t>
      </w:r>
      <w:r w:rsidRPr="009E1EBC" w:rsidR="006A07D4">
        <w:t xml:space="preserve">a remedy </w:t>
      </w:r>
      <w:r w:rsidRPr="009E1EBC" w:rsidR="008C6D8C">
        <w:t xml:space="preserve">at his disposal </w:t>
      </w:r>
      <w:r w:rsidRPr="009E1EBC" w:rsidR="006A07D4">
        <w:t xml:space="preserve">in the form of </w:t>
      </w:r>
      <w:r w:rsidRPr="009E1EBC" w:rsidR="008C6D8C">
        <w:t xml:space="preserve">a civil action for damages, but </w:t>
      </w:r>
      <w:r w:rsidRPr="009E1EBC" w:rsidR="006A07D4">
        <w:t xml:space="preserve">had </w:t>
      </w:r>
      <w:r w:rsidRPr="009E1EBC" w:rsidR="008C6D8C">
        <w:t xml:space="preserve">failed to use it. The Government provided copies of the decisions delivered by the domestic courts in a case </w:t>
      </w:r>
      <w:r w:rsidRPr="009E1EBC" w:rsidR="006A07D4">
        <w:t xml:space="preserve">in which a claimant </w:t>
      </w:r>
      <w:r w:rsidRPr="009E1EBC" w:rsidR="008C6D8C">
        <w:t xml:space="preserve">had </w:t>
      </w:r>
      <w:r w:rsidRPr="009E1EBC" w:rsidR="00E054CE">
        <w:t xml:space="preserve">successfully </w:t>
      </w:r>
      <w:r w:rsidRPr="009E1EBC" w:rsidR="006A07D4">
        <w:t>brought a</w:t>
      </w:r>
      <w:r w:rsidRPr="009E1EBC" w:rsidR="008C6D8C">
        <w:t xml:space="preserve"> </w:t>
      </w:r>
      <w:r w:rsidRPr="009E1EBC" w:rsidR="00E054CE">
        <w:t>civil</w:t>
      </w:r>
      <w:r w:rsidRPr="009E1EBC" w:rsidR="006A07D4">
        <w:t>-</w:t>
      </w:r>
      <w:r w:rsidRPr="009E1EBC" w:rsidR="00E054CE">
        <w:t>law action.</w:t>
      </w:r>
    </w:p>
    <w:p w:rsidRPr="009E1EBC" w:rsidR="00D968E8" w:rsidP="009E1EBC" w:rsidRDefault="002935E9">
      <w:pPr>
        <w:pStyle w:val="ECHRPara"/>
      </w:pPr>
      <w:r w:rsidRPr="009E1EBC">
        <w:fldChar w:fldCharType="begin"/>
      </w:r>
      <w:r w:rsidRPr="009E1EBC">
        <w:instrText xml:space="preserve"> SEQ level0 \*arabic </w:instrText>
      </w:r>
      <w:r w:rsidRPr="009E1EBC">
        <w:fldChar w:fldCharType="separate"/>
      </w:r>
      <w:r w:rsidRPr="009E1EBC" w:rsidR="009E1EBC">
        <w:rPr>
          <w:noProof/>
        </w:rPr>
        <w:t>12</w:t>
      </w:r>
      <w:r w:rsidRPr="009E1EBC">
        <w:rPr>
          <w:noProof/>
        </w:rPr>
        <w:fldChar w:fldCharType="end"/>
      </w:r>
      <w:r w:rsidRPr="009E1EBC" w:rsidR="00D968E8">
        <w:t xml:space="preserve">.  The applicant argued that he had exhausted domestic remedies because he had raised a complaint based on Article 8 of the Convention </w:t>
      </w:r>
      <w:r w:rsidRPr="009E1EBC" w:rsidR="006A07D4">
        <w:t xml:space="preserve">in </w:t>
      </w:r>
      <w:r w:rsidRPr="009E1EBC" w:rsidR="00D968E8">
        <w:t xml:space="preserve">the </w:t>
      </w:r>
      <w:r w:rsidRPr="009E1EBC" w:rsidR="006A07D4">
        <w:t xml:space="preserve">context </w:t>
      </w:r>
      <w:r w:rsidRPr="009E1EBC" w:rsidR="00D968E8">
        <w:t xml:space="preserve">of </w:t>
      </w:r>
      <w:r w:rsidRPr="009E1EBC" w:rsidR="006A07D4">
        <w:t xml:space="preserve">the </w:t>
      </w:r>
      <w:r w:rsidRPr="009E1EBC" w:rsidR="00D968E8">
        <w:t>criminal proceedings against him.</w:t>
      </w:r>
    </w:p>
    <w:p w:rsidRPr="009E1EBC" w:rsidR="00D968E8" w:rsidP="009E1EBC" w:rsidRDefault="002935E9">
      <w:pPr>
        <w:pStyle w:val="ECHRPara"/>
      </w:pPr>
      <w:r w:rsidRPr="009E1EBC">
        <w:fldChar w:fldCharType="begin"/>
      </w:r>
      <w:r w:rsidRPr="009E1EBC">
        <w:instrText xml:space="preserve"> SEQ level0 \*arabic </w:instrText>
      </w:r>
      <w:r w:rsidRPr="009E1EBC">
        <w:fldChar w:fldCharType="separate"/>
      </w:r>
      <w:r w:rsidRPr="009E1EBC" w:rsidR="009E1EBC">
        <w:rPr>
          <w:noProof/>
        </w:rPr>
        <w:t>13</w:t>
      </w:r>
      <w:r w:rsidRPr="009E1EBC">
        <w:rPr>
          <w:noProof/>
        </w:rPr>
        <w:fldChar w:fldCharType="end"/>
      </w:r>
      <w:r w:rsidRPr="009E1EBC" w:rsidR="00D968E8">
        <w:t xml:space="preserve">.  The Court reiterates that under Article 35 § 1 it may only deal with a matter after all domestic remedies have been exhausted. Applicants must have provided the domestic courts with the opportunity, in principle intended to be afforded to Contracting States, of preventing or putting right the violations alleged against them (see </w:t>
      </w:r>
      <w:r w:rsidRPr="009E1EBC" w:rsidR="00D968E8">
        <w:rPr>
          <w:i/>
        </w:rPr>
        <w:t>McFarlane v. Ireland</w:t>
      </w:r>
      <w:r w:rsidRPr="009E1EBC" w:rsidR="001250F2">
        <w:rPr>
          <w:i/>
        </w:rPr>
        <w:t xml:space="preserve"> </w:t>
      </w:r>
      <w:r w:rsidRPr="009E1EBC" w:rsidR="00D968E8">
        <w:rPr>
          <w:snapToGrid w:val="0"/>
        </w:rPr>
        <w:t>[GC]</w:t>
      </w:r>
      <w:r w:rsidRPr="009E1EBC" w:rsidR="00D968E8">
        <w:t>, no. 31333/06, § 107, 10 September 2010).</w:t>
      </w:r>
    </w:p>
    <w:p w:rsidRPr="009E1EBC" w:rsidR="00D968E8" w:rsidP="009E1EBC" w:rsidRDefault="00D968E8">
      <w:pPr>
        <w:pStyle w:val="ECHRPara"/>
      </w:pPr>
      <w:r w:rsidRPr="009E1EBC">
        <w:fldChar w:fldCharType="begin"/>
      </w:r>
      <w:r w:rsidRPr="009E1EBC">
        <w:instrText xml:space="preserve"> SEQ level0 \*arabic </w:instrText>
      </w:r>
      <w:r w:rsidRPr="009E1EBC">
        <w:fldChar w:fldCharType="separate"/>
      </w:r>
      <w:r w:rsidRPr="009E1EBC" w:rsidR="009E1EBC">
        <w:rPr>
          <w:noProof/>
        </w:rPr>
        <w:t>14</w:t>
      </w:r>
      <w:r w:rsidRPr="009E1EBC">
        <w:fldChar w:fldCharType="end"/>
      </w:r>
      <w:r w:rsidRPr="009E1EBC">
        <w:t>.  The Court notes that it has already examined, in a similar Romanian case, the relevant legal framework provided by both criminal and civil law and that it has found that all the above means of action should be considered equally available to a person who contests the lawfulness of interception (</w:t>
      </w:r>
      <w:r w:rsidRPr="009E1EBC" w:rsidR="005171E5">
        <w:t xml:space="preserve">see </w:t>
      </w:r>
      <w:proofErr w:type="spellStart"/>
      <w:r w:rsidRPr="009E1EBC">
        <w:rPr>
          <w:i/>
        </w:rPr>
        <w:t>Bălteanu</w:t>
      </w:r>
      <w:proofErr w:type="spellEnd"/>
      <w:r w:rsidRPr="009E1EBC">
        <w:rPr>
          <w:i/>
        </w:rPr>
        <w:t xml:space="preserve"> v. Romania</w:t>
      </w:r>
      <w:r w:rsidRPr="009E1EBC">
        <w:t xml:space="preserve">, no. 142/04, § 35, 16 July 2013). It </w:t>
      </w:r>
      <w:r w:rsidRPr="009E1EBC" w:rsidR="00F310BD">
        <w:t xml:space="preserve">has </w:t>
      </w:r>
      <w:r w:rsidRPr="009E1EBC">
        <w:t xml:space="preserve">also </w:t>
      </w:r>
      <w:r w:rsidRPr="009E1EBC" w:rsidR="00F310BD">
        <w:t>reiterated that</w:t>
      </w:r>
      <w:r w:rsidRPr="009E1EBC">
        <w:t>, in such circumstances, the choice of methods used belongs entirely to an applicant who, if he</w:t>
      </w:r>
      <w:r w:rsidRPr="009E1EBC" w:rsidR="006A07D4">
        <w:t xml:space="preserve"> or she</w:t>
      </w:r>
      <w:r w:rsidRPr="009E1EBC">
        <w:t xml:space="preserve"> has exhausted a remedy that is apparently effective and sufficient, cannot be required to have also tried to make use of others that were available but probably no more likely to be successful (</w:t>
      </w:r>
      <w:r w:rsidRPr="009E1EBC" w:rsidR="006A07D4">
        <w:t>ibid.</w:t>
      </w:r>
      <w:r w:rsidRPr="009E1EBC">
        <w:t xml:space="preserve">; see also </w:t>
      </w:r>
      <w:proofErr w:type="spellStart"/>
      <w:r w:rsidRPr="009E1EBC">
        <w:rPr>
          <w:i/>
        </w:rPr>
        <w:t>Aquilina</w:t>
      </w:r>
      <w:proofErr w:type="spellEnd"/>
      <w:r w:rsidRPr="009E1EBC">
        <w:rPr>
          <w:i/>
        </w:rPr>
        <w:t xml:space="preserve"> v. Malta</w:t>
      </w:r>
      <w:r w:rsidRPr="009E1EBC">
        <w:t xml:space="preserve"> [GC], no. 25642/94, §</w:t>
      </w:r>
      <w:r w:rsidRPr="009E1EBC" w:rsidR="00A96A11">
        <w:t> </w:t>
      </w:r>
      <w:r w:rsidRPr="009E1EBC" w:rsidR="00F310BD">
        <w:t>39</w:t>
      </w:r>
      <w:r w:rsidRPr="009E1EBC">
        <w:t>, ECHR</w:t>
      </w:r>
      <w:r w:rsidRPr="009E1EBC" w:rsidR="00A96A11">
        <w:t> </w:t>
      </w:r>
      <w:r w:rsidRPr="009E1EBC">
        <w:t>1999</w:t>
      </w:r>
      <w:r w:rsidRPr="009E1EBC">
        <w:noBreakHyphen/>
        <w:t>III</w:t>
      </w:r>
      <w:r w:rsidRPr="009E1EBC" w:rsidR="00F310BD">
        <w:t>).</w:t>
      </w:r>
    </w:p>
    <w:p w:rsidRPr="009E1EBC" w:rsidR="00F310BD" w:rsidP="009E1EBC" w:rsidRDefault="00F310BD">
      <w:pPr>
        <w:pStyle w:val="ECHRPara"/>
      </w:pPr>
      <w:r w:rsidRPr="009E1EBC">
        <w:fldChar w:fldCharType="begin"/>
      </w:r>
      <w:r w:rsidRPr="009E1EBC">
        <w:instrText xml:space="preserve"> SEQ level0 \*arabic </w:instrText>
      </w:r>
      <w:r w:rsidRPr="009E1EBC">
        <w:fldChar w:fldCharType="separate"/>
      </w:r>
      <w:r w:rsidRPr="009E1EBC" w:rsidR="009E1EBC">
        <w:rPr>
          <w:noProof/>
        </w:rPr>
        <w:t>15</w:t>
      </w:r>
      <w:r w:rsidRPr="009E1EBC">
        <w:fldChar w:fldCharType="end"/>
      </w:r>
      <w:r w:rsidRPr="009E1EBC">
        <w:t xml:space="preserve">.  In the instant case, the Court observes that the applicant complained before the domestic courts about the lawfulness of the interception of his phone conversation </w:t>
      </w:r>
      <w:r w:rsidRPr="009E1EBC" w:rsidR="006A07D4">
        <w:t>and</w:t>
      </w:r>
      <w:r w:rsidRPr="009E1EBC">
        <w:t xml:space="preserve"> the accuracy of </w:t>
      </w:r>
      <w:r w:rsidRPr="009E1EBC" w:rsidR="006A07D4">
        <w:t xml:space="preserve">the </w:t>
      </w:r>
      <w:r w:rsidRPr="009E1EBC">
        <w:t>transcript, and that he relied on the Court</w:t>
      </w:r>
      <w:r w:rsidRPr="009E1EBC" w:rsidR="009E1EBC">
        <w:t>’</w:t>
      </w:r>
      <w:r w:rsidRPr="009E1EBC">
        <w:t xml:space="preserve">s finding that Law no. 51/1991 did not </w:t>
      </w:r>
      <w:r w:rsidRPr="009E1EBC" w:rsidR="006A07D4">
        <w:t xml:space="preserve">afford </w:t>
      </w:r>
      <w:r w:rsidRPr="009E1EBC">
        <w:t xml:space="preserve">the guarantees required under Article 8 of the Convention (see paragraph </w:t>
      </w:r>
      <w:r w:rsidRPr="009E1EBC">
        <w:fldChar w:fldCharType="begin"/>
      </w:r>
      <w:r w:rsidRPr="009E1EBC">
        <w:instrText xml:space="preserve"> REF motive_recurs \h </w:instrText>
      </w:r>
      <w:r w:rsidRPr="009E1EBC">
        <w:fldChar w:fldCharType="separate"/>
      </w:r>
      <w:r w:rsidRPr="009E1EBC" w:rsidR="009E1EBC">
        <w:rPr>
          <w:noProof/>
        </w:rPr>
        <w:t>8</w:t>
      </w:r>
      <w:r w:rsidRPr="009E1EBC">
        <w:fldChar w:fldCharType="end"/>
      </w:r>
      <w:r w:rsidRPr="009E1EBC">
        <w:t xml:space="preserve"> above). The Court is therefore satisfied that the applicant made use of one of the </w:t>
      </w:r>
      <w:r w:rsidRPr="009E1EBC" w:rsidR="00384FD1">
        <w:t>remedies</w:t>
      </w:r>
      <w:r w:rsidRPr="009E1EBC">
        <w:t xml:space="preserve"> provided for by domestic legislation (see</w:t>
      </w:r>
      <w:r w:rsidRPr="009E1EBC" w:rsidR="00F75654">
        <w:t>,</w:t>
      </w:r>
      <w:r w:rsidRPr="009E1EBC">
        <w:t xml:space="preserve"> </w:t>
      </w:r>
      <w:r w:rsidRPr="009E1EBC" w:rsidR="00C41753">
        <w:rPr>
          <w:i/>
        </w:rPr>
        <w:t>mutatis</w:t>
      </w:r>
      <w:r w:rsidRPr="009E1EBC" w:rsidR="00A96A11">
        <w:rPr>
          <w:i/>
        </w:rPr>
        <w:t> </w:t>
      </w:r>
      <w:r w:rsidRPr="009E1EBC" w:rsidR="00C41753">
        <w:rPr>
          <w:i/>
        </w:rPr>
        <w:t xml:space="preserve">mutandis, </w:t>
      </w:r>
      <w:proofErr w:type="spellStart"/>
      <w:r w:rsidRPr="009E1EBC">
        <w:rPr>
          <w:i/>
        </w:rPr>
        <w:t>Bălteanu</w:t>
      </w:r>
      <w:proofErr w:type="spellEnd"/>
      <w:r w:rsidRPr="009E1EBC">
        <w:t>, cited above</w:t>
      </w:r>
      <w:r w:rsidRPr="009E1EBC" w:rsidR="00C41753">
        <w:t>, §§ 36-37</w:t>
      </w:r>
      <w:r w:rsidRPr="009E1EBC">
        <w:t xml:space="preserve">). It follows that the applicant exhausted </w:t>
      </w:r>
      <w:r w:rsidRPr="009E1EBC" w:rsidR="006A07D4">
        <w:t xml:space="preserve">the </w:t>
      </w:r>
      <w:r w:rsidRPr="009E1EBC">
        <w:t>domestic remedies available to him and that the Government</w:t>
      </w:r>
      <w:r w:rsidRPr="009E1EBC" w:rsidR="009E1EBC">
        <w:t>’</w:t>
      </w:r>
      <w:r w:rsidRPr="009E1EBC">
        <w:t>s objection must be dismissed.</w:t>
      </w:r>
    </w:p>
    <w:p w:rsidRPr="009E1EBC" w:rsidR="00D420F3" w:rsidP="009E1EBC" w:rsidRDefault="00B0680F">
      <w:pPr>
        <w:pStyle w:val="ECHRPara"/>
      </w:pPr>
      <w:r w:rsidRPr="009E1EBC">
        <w:fldChar w:fldCharType="begin"/>
      </w:r>
      <w:r w:rsidRPr="009E1EBC">
        <w:instrText xml:space="preserve"> SEQ level0 \*arabic </w:instrText>
      </w:r>
      <w:r w:rsidRPr="009E1EBC">
        <w:fldChar w:fldCharType="separate"/>
      </w:r>
      <w:r w:rsidRPr="009E1EBC" w:rsidR="009E1EBC">
        <w:rPr>
          <w:noProof/>
        </w:rPr>
        <w:t>16</w:t>
      </w:r>
      <w:r w:rsidRPr="009E1EBC">
        <w:fldChar w:fldCharType="end"/>
      </w:r>
      <w:r w:rsidRPr="009E1EBC" w:rsidR="0077175D">
        <w:t>.  </w:t>
      </w:r>
      <w:r w:rsidRPr="009E1EBC" w:rsidR="00F310BD">
        <w:t>Furthermore, t</w:t>
      </w:r>
      <w:r w:rsidRPr="009E1EBC" w:rsidR="0077175D">
        <w:t>he Court notes that the ap</w:t>
      </w:r>
      <w:r w:rsidRPr="009E1EBC" w:rsidR="009B3269">
        <w:t>plication is not manifestly ill</w:t>
      </w:r>
      <w:r w:rsidRPr="009E1EBC" w:rsidR="009B3269">
        <w:noBreakHyphen/>
      </w:r>
      <w:r w:rsidRPr="009E1EBC" w:rsidR="0077175D">
        <w:t>founded within the meaning of Article 35 § 3 (a) of the Convention. It further notes that it is not inadmissible on any other grounds. It must therefore be declared admissible.</w:t>
      </w:r>
    </w:p>
    <w:p w:rsidRPr="009E1EBC" w:rsidR="00D420F3" w:rsidP="009E1EBC" w:rsidRDefault="0077175D">
      <w:pPr>
        <w:pStyle w:val="ECHRHeading2"/>
      </w:pPr>
      <w:r w:rsidRPr="009E1EBC">
        <w:t>B.  Merits</w:t>
      </w:r>
    </w:p>
    <w:p w:rsidRPr="009E1EBC" w:rsidR="00D420F3" w:rsidP="009E1EBC" w:rsidRDefault="00B0680F">
      <w:pPr>
        <w:pStyle w:val="ECHRPara"/>
      </w:pPr>
      <w:r w:rsidRPr="009E1EBC">
        <w:fldChar w:fldCharType="begin"/>
      </w:r>
      <w:r w:rsidRPr="009E1EBC">
        <w:instrText xml:space="preserve"> SEQ level0 \*arabic </w:instrText>
      </w:r>
      <w:r w:rsidRPr="009E1EBC">
        <w:fldChar w:fldCharType="separate"/>
      </w:r>
      <w:r w:rsidRPr="009E1EBC" w:rsidR="009E1EBC">
        <w:rPr>
          <w:noProof/>
        </w:rPr>
        <w:t>17</w:t>
      </w:r>
      <w:r w:rsidRPr="009E1EBC">
        <w:fldChar w:fldCharType="end"/>
      </w:r>
      <w:r w:rsidRPr="009E1EBC" w:rsidR="0077175D">
        <w:t xml:space="preserve">.  The applicant </w:t>
      </w:r>
      <w:r w:rsidRPr="009E1EBC" w:rsidR="00C3573A">
        <w:t xml:space="preserve">submitted that </w:t>
      </w:r>
      <w:r w:rsidRPr="009E1EBC" w:rsidR="006A07D4">
        <w:t>L</w:t>
      </w:r>
      <w:r w:rsidRPr="009E1EBC" w:rsidR="00C3573A">
        <w:t xml:space="preserve">aw no. 51/1991 did not </w:t>
      </w:r>
      <w:r w:rsidRPr="009E1EBC" w:rsidR="006A07D4">
        <w:t xml:space="preserve">afford </w:t>
      </w:r>
      <w:r w:rsidRPr="009E1EBC" w:rsidR="00C3573A">
        <w:t xml:space="preserve">the guarantees </w:t>
      </w:r>
      <w:r w:rsidRPr="009E1EBC" w:rsidR="006A07D4">
        <w:t xml:space="preserve">required </w:t>
      </w:r>
      <w:r w:rsidRPr="009E1EBC" w:rsidR="00C3573A">
        <w:t>by the Court in its case-law.</w:t>
      </w:r>
    </w:p>
    <w:bookmarkStart w:name="obs_guv" w:id="4"/>
    <w:p w:rsidRPr="009E1EBC" w:rsidR="00866357" w:rsidP="009E1EBC" w:rsidRDefault="00B0680F">
      <w:pPr>
        <w:pStyle w:val="ECHRPara"/>
      </w:pPr>
      <w:r w:rsidRPr="009E1EBC">
        <w:fldChar w:fldCharType="begin"/>
      </w:r>
      <w:r w:rsidRPr="009E1EBC">
        <w:instrText xml:space="preserve"> SEQ level0 \*arabic </w:instrText>
      </w:r>
      <w:r w:rsidRPr="009E1EBC">
        <w:fldChar w:fldCharType="separate"/>
      </w:r>
      <w:r w:rsidRPr="009E1EBC" w:rsidR="009E1EBC">
        <w:rPr>
          <w:noProof/>
        </w:rPr>
        <w:t>18</w:t>
      </w:r>
      <w:r w:rsidRPr="009E1EBC">
        <w:fldChar w:fldCharType="end"/>
      </w:r>
      <w:bookmarkEnd w:id="4"/>
      <w:r w:rsidRPr="009E1EBC" w:rsidR="0077175D">
        <w:t>.  </w:t>
      </w:r>
      <w:r w:rsidRPr="009E1EBC" w:rsidR="006C7171">
        <w:t xml:space="preserve">Referring to the cases of </w:t>
      </w:r>
      <w:proofErr w:type="spellStart"/>
      <w:r w:rsidRPr="009E1EBC" w:rsidR="006C7171">
        <w:rPr>
          <w:i/>
        </w:rPr>
        <w:t>Dumitru</w:t>
      </w:r>
      <w:proofErr w:type="spellEnd"/>
      <w:r w:rsidRPr="009E1EBC" w:rsidR="006C7171">
        <w:rPr>
          <w:i/>
        </w:rPr>
        <w:t xml:space="preserve"> </w:t>
      </w:r>
      <w:proofErr w:type="spellStart"/>
      <w:r w:rsidRPr="009E1EBC" w:rsidR="006C7171">
        <w:rPr>
          <w:i/>
        </w:rPr>
        <w:t>Popescu</w:t>
      </w:r>
      <w:proofErr w:type="spellEnd"/>
      <w:r w:rsidRPr="009E1EBC" w:rsidR="006C7171">
        <w:rPr>
          <w:i/>
        </w:rPr>
        <w:t xml:space="preserve"> v. Romania</w:t>
      </w:r>
      <w:r w:rsidRPr="009E1EBC" w:rsidR="00A96A11">
        <w:rPr>
          <w:i/>
        </w:rPr>
        <w:t> </w:t>
      </w:r>
      <w:r w:rsidRPr="009E1EBC" w:rsidR="00772E5D">
        <w:rPr>
          <w:i/>
        </w:rPr>
        <w:t>(no. </w:t>
      </w:r>
      <w:r w:rsidRPr="009E1EBC" w:rsidR="006C7171">
        <w:rPr>
          <w:i/>
        </w:rPr>
        <w:t>2)</w:t>
      </w:r>
      <w:r w:rsidRPr="009E1EBC" w:rsidR="006C7171">
        <w:t xml:space="preserve"> (no. 71525/01, 26 April 2007), </w:t>
      </w:r>
      <w:r w:rsidRPr="009E1EBC" w:rsidR="006C7171">
        <w:rPr>
          <w:i/>
        </w:rPr>
        <w:t xml:space="preserve">Valentino </w:t>
      </w:r>
      <w:proofErr w:type="spellStart"/>
      <w:r w:rsidRPr="009E1EBC" w:rsidR="006C7171">
        <w:rPr>
          <w:i/>
        </w:rPr>
        <w:t>Acatrinei</w:t>
      </w:r>
      <w:proofErr w:type="spellEnd"/>
      <w:r w:rsidRPr="009E1EBC" w:rsidR="006C7171">
        <w:rPr>
          <w:snapToGrid w:val="0"/>
        </w:rPr>
        <w:t xml:space="preserve"> </w:t>
      </w:r>
      <w:r w:rsidRPr="009E1EBC" w:rsidR="005E3D32">
        <w:rPr>
          <w:i/>
        </w:rPr>
        <w:t>v. </w:t>
      </w:r>
      <w:r w:rsidRPr="009E1EBC" w:rsidR="006C7171">
        <w:rPr>
          <w:i/>
        </w:rPr>
        <w:t>Romania</w:t>
      </w:r>
      <w:r w:rsidRPr="009E1EBC" w:rsidR="006C7171">
        <w:rPr>
          <w:snapToGrid w:val="0"/>
        </w:rPr>
        <w:t xml:space="preserve"> (no. 18540/04, 25 June 2013), and </w:t>
      </w:r>
      <w:proofErr w:type="spellStart"/>
      <w:r w:rsidRPr="009E1EBC" w:rsidR="006C7171">
        <w:rPr>
          <w:i/>
          <w:snapToGrid w:val="0"/>
        </w:rPr>
        <w:t>Bălteanu</w:t>
      </w:r>
      <w:proofErr w:type="spellEnd"/>
      <w:r w:rsidRPr="009E1EBC" w:rsidR="006C7171">
        <w:rPr>
          <w:snapToGrid w:val="0"/>
        </w:rPr>
        <w:t xml:space="preserve"> </w:t>
      </w:r>
      <w:r w:rsidRPr="009E1EBC" w:rsidR="00C41753">
        <w:rPr>
          <w:snapToGrid w:val="0"/>
        </w:rPr>
        <w:t>(</w:t>
      </w:r>
      <w:r w:rsidRPr="009E1EBC" w:rsidR="006C7171">
        <w:rPr>
          <w:snapToGrid w:val="0"/>
        </w:rPr>
        <w:t>cited above</w:t>
      </w:r>
      <w:r w:rsidRPr="009E1EBC" w:rsidR="00C41753">
        <w:rPr>
          <w:snapToGrid w:val="0"/>
        </w:rPr>
        <w:t>)</w:t>
      </w:r>
      <w:r w:rsidRPr="009E1EBC" w:rsidR="006C7171">
        <w:rPr>
          <w:snapToGrid w:val="0"/>
        </w:rPr>
        <w:t>, t</w:t>
      </w:r>
      <w:r w:rsidRPr="009E1EBC" w:rsidR="0077175D">
        <w:t xml:space="preserve">he Government </w:t>
      </w:r>
      <w:r w:rsidRPr="009E1EBC" w:rsidR="006C7171">
        <w:t>left the matter to the Court</w:t>
      </w:r>
      <w:r w:rsidRPr="009E1EBC" w:rsidR="009E1EBC">
        <w:t>’</w:t>
      </w:r>
      <w:r w:rsidRPr="009E1EBC" w:rsidR="006C7171">
        <w:t>s discretion.</w:t>
      </w:r>
      <w:r w:rsidRPr="009E1EBC" w:rsidR="003A5315">
        <w:t xml:space="preserve"> They remarked however that the applicant could have obtained an expert opinion</w:t>
      </w:r>
      <w:r w:rsidRPr="009E1EBC" w:rsidR="006A07D4">
        <w:t xml:space="preserve"> from an independent authority</w:t>
      </w:r>
      <w:r w:rsidRPr="009E1EBC" w:rsidR="003A5315">
        <w:t xml:space="preserve"> on the </w:t>
      </w:r>
      <w:r w:rsidRPr="009E1EBC" w:rsidR="00F86854">
        <w:t xml:space="preserve">authenticity </w:t>
      </w:r>
      <w:r w:rsidRPr="009E1EBC" w:rsidR="003A5315">
        <w:t xml:space="preserve">and reliability of the </w:t>
      </w:r>
      <w:r w:rsidRPr="009E1EBC" w:rsidR="00064F3E">
        <w:t>transcript</w:t>
      </w:r>
      <w:r w:rsidRPr="009E1EBC" w:rsidR="003A5315">
        <w:t>.</w:t>
      </w:r>
    </w:p>
    <w:p w:rsidRPr="009E1EBC" w:rsidR="006C7171" w:rsidP="009E1EBC" w:rsidRDefault="00C3573A">
      <w:pPr>
        <w:pStyle w:val="ECHRPara"/>
      </w:pPr>
      <w:r w:rsidRPr="009E1EBC">
        <w:fldChar w:fldCharType="begin"/>
      </w:r>
      <w:r w:rsidRPr="009E1EBC">
        <w:instrText xml:space="preserve"> SEQ level0 \*arabic </w:instrText>
      </w:r>
      <w:r w:rsidRPr="009E1EBC">
        <w:fldChar w:fldCharType="separate"/>
      </w:r>
      <w:r w:rsidRPr="009E1EBC" w:rsidR="009E1EBC">
        <w:rPr>
          <w:noProof/>
        </w:rPr>
        <w:t>19</w:t>
      </w:r>
      <w:r w:rsidRPr="009E1EBC">
        <w:fldChar w:fldCharType="end"/>
      </w:r>
      <w:r w:rsidRPr="009E1EBC">
        <w:t>.  </w:t>
      </w:r>
      <w:r w:rsidRPr="009E1EBC" w:rsidR="003C7D04">
        <w:t>The Court observes at the outset that telephone conversations are covered by the notions of “private life” and “correspondence” within the meaning of Article 8</w:t>
      </w:r>
      <w:r w:rsidRPr="009E1EBC" w:rsidR="00CA2981">
        <w:t xml:space="preserve"> (see </w:t>
      </w:r>
      <w:r w:rsidRPr="009E1EBC" w:rsidR="00CA2981">
        <w:rPr>
          <w:i/>
          <w:lang w:val="it-IT"/>
        </w:rPr>
        <w:t xml:space="preserve">Roman </w:t>
      </w:r>
      <w:proofErr w:type="spellStart"/>
      <w:r w:rsidRPr="009E1EBC" w:rsidR="00CA2981">
        <w:rPr>
          <w:i/>
          <w:lang w:val="it-IT"/>
        </w:rPr>
        <w:t>Zakharov</w:t>
      </w:r>
      <w:proofErr w:type="spellEnd"/>
      <w:r w:rsidRPr="009E1EBC" w:rsidR="00CA2981">
        <w:rPr>
          <w:lang w:val="it-IT"/>
        </w:rPr>
        <w:t xml:space="preserve"> </w:t>
      </w:r>
      <w:r w:rsidRPr="009E1EBC" w:rsidR="00CA2981">
        <w:rPr>
          <w:i/>
          <w:lang w:val="it-IT"/>
        </w:rPr>
        <w:t xml:space="preserve">v. Russia </w:t>
      </w:r>
      <w:r w:rsidRPr="009E1EBC" w:rsidR="00CA2981">
        <w:rPr>
          <w:lang w:val="it-IT"/>
        </w:rPr>
        <w:t>[GC], no.</w:t>
      </w:r>
      <w:r w:rsidRPr="009E1EBC" w:rsidR="00A96A11">
        <w:rPr>
          <w:lang w:val="it-IT"/>
        </w:rPr>
        <w:t> </w:t>
      </w:r>
      <w:r w:rsidRPr="009E1EBC" w:rsidR="00CA2981">
        <w:rPr>
          <w:lang w:val="it-IT"/>
        </w:rPr>
        <w:t xml:space="preserve">47143/06, § 173, ECHR 2015). </w:t>
      </w:r>
      <w:r w:rsidRPr="009E1EBC" w:rsidR="00CA2981">
        <w:t xml:space="preserve">It also notes that in the present case a telephone conversation between the applicant and M.G. </w:t>
      </w:r>
      <w:r w:rsidRPr="009E1EBC" w:rsidR="00064F3E">
        <w:t>was</w:t>
      </w:r>
      <w:r w:rsidRPr="009E1EBC" w:rsidR="00CA2981">
        <w:t xml:space="preserve"> intercepted on the basis of a warrant issued by the prosecutor </w:t>
      </w:r>
      <w:r w:rsidRPr="009E1EBC" w:rsidR="006A07D4">
        <w:t>under</w:t>
      </w:r>
      <w:r w:rsidRPr="009E1EBC" w:rsidR="00CA2981">
        <w:t xml:space="preserve"> the provisions of Law</w:t>
      </w:r>
      <w:r w:rsidRPr="009E1EBC" w:rsidR="00A96A11">
        <w:t> </w:t>
      </w:r>
      <w:r w:rsidRPr="009E1EBC" w:rsidR="00CA2981">
        <w:t>no.</w:t>
      </w:r>
      <w:r w:rsidRPr="009E1EBC" w:rsidR="00605A23">
        <w:t> </w:t>
      </w:r>
      <w:r w:rsidRPr="009E1EBC" w:rsidR="00CA2981">
        <w:t xml:space="preserve">51/1991 (see paragraphs </w:t>
      </w:r>
      <w:r w:rsidRPr="009E1EBC" w:rsidR="00CA2981">
        <w:fldChar w:fldCharType="begin"/>
      </w:r>
      <w:r w:rsidRPr="009E1EBC" w:rsidR="00CA2981">
        <w:instrText xml:space="preserve"> REF par6 \h </w:instrText>
      </w:r>
      <w:r w:rsidRPr="009E1EBC" w:rsidR="00CA2981">
        <w:fldChar w:fldCharType="separate"/>
      </w:r>
      <w:r w:rsidRPr="009E1EBC" w:rsidR="009E1EBC">
        <w:rPr>
          <w:noProof/>
        </w:rPr>
        <w:t>6</w:t>
      </w:r>
      <w:r w:rsidRPr="009E1EBC" w:rsidR="00CA2981">
        <w:fldChar w:fldCharType="end"/>
      </w:r>
      <w:r w:rsidRPr="009E1EBC" w:rsidR="00CA2981">
        <w:t>-</w:t>
      </w:r>
      <w:r w:rsidRPr="009E1EBC" w:rsidR="00CA2981">
        <w:fldChar w:fldCharType="begin"/>
      </w:r>
      <w:r w:rsidRPr="009E1EBC" w:rsidR="00CA2981">
        <w:instrText xml:space="preserve"> REF par7 \h </w:instrText>
      </w:r>
      <w:r w:rsidRPr="009E1EBC" w:rsidR="00CA2981">
        <w:fldChar w:fldCharType="separate"/>
      </w:r>
      <w:r w:rsidRPr="009E1EBC" w:rsidR="009E1EBC">
        <w:rPr>
          <w:noProof/>
        </w:rPr>
        <w:t>7</w:t>
      </w:r>
      <w:r w:rsidRPr="009E1EBC" w:rsidR="00CA2981">
        <w:fldChar w:fldCharType="end"/>
      </w:r>
      <w:r w:rsidRPr="009E1EBC" w:rsidR="00CA2981">
        <w:t xml:space="preserve"> above).</w:t>
      </w:r>
    </w:p>
    <w:p w:rsidRPr="009E1EBC" w:rsidR="00C3573A" w:rsidP="009E1EBC" w:rsidRDefault="00CA2981">
      <w:pPr>
        <w:pStyle w:val="ECHRPara"/>
      </w:pPr>
      <w:r w:rsidRPr="009E1EBC">
        <w:fldChar w:fldCharType="begin"/>
      </w:r>
      <w:r w:rsidRPr="009E1EBC">
        <w:instrText xml:space="preserve"> SEQ level0 \*arabic </w:instrText>
      </w:r>
      <w:r w:rsidRPr="009E1EBC">
        <w:fldChar w:fldCharType="separate"/>
      </w:r>
      <w:r w:rsidRPr="009E1EBC" w:rsidR="009E1EBC">
        <w:rPr>
          <w:noProof/>
        </w:rPr>
        <w:t>20</w:t>
      </w:r>
      <w:r w:rsidRPr="009E1EBC">
        <w:fldChar w:fldCharType="end"/>
      </w:r>
      <w:r w:rsidRPr="009E1EBC">
        <w:t>.  </w:t>
      </w:r>
      <w:r w:rsidRPr="009E1EBC" w:rsidR="00C3573A">
        <w:t xml:space="preserve">The Court further reiterates that it has already examined whether the system in place in Romania </w:t>
      </w:r>
      <w:r w:rsidRPr="009E1EBC" w:rsidR="00681887">
        <w:t xml:space="preserve">governing </w:t>
      </w:r>
      <w:r w:rsidRPr="009E1EBC" w:rsidR="00C3573A">
        <w:t xml:space="preserve">telephone tapping on grounds of national security complied with the requirements of Article 8 of the Convention (see </w:t>
      </w:r>
      <w:proofErr w:type="spellStart"/>
      <w:r w:rsidRPr="009E1EBC" w:rsidR="00C3573A">
        <w:rPr>
          <w:i/>
        </w:rPr>
        <w:t>Dumitru</w:t>
      </w:r>
      <w:proofErr w:type="spellEnd"/>
      <w:r w:rsidRPr="009E1EBC" w:rsidR="00C3573A">
        <w:rPr>
          <w:i/>
        </w:rPr>
        <w:t xml:space="preserve"> </w:t>
      </w:r>
      <w:proofErr w:type="spellStart"/>
      <w:r w:rsidRPr="009E1EBC" w:rsidR="00C3573A">
        <w:rPr>
          <w:i/>
        </w:rPr>
        <w:t>Popescu</w:t>
      </w:r>
      <w:proofErr w:type="spellEnd"/>
      <w:r w:rsidRPr="009E1EBC" w:rsidR="00C3573A">
        <w:t>, cited above</w:t>
      </w:r>
      <w:r w:rsidRPr="009E1EBC" w:rsidR="00C41753">
        <w:t>, §§</w:t>
      </w:r>
      <w:r w:rsidRPr="009E1EBC" w:rsidR="00BA4EAA">
        <w:t> </w:t>
      </w:r>
      <w:r w:rsidRPr="009E1EBC" w:rsidR="00C41753">
        <w:t>68-86</w:t>
      </w:r>
      <w:r w:rsidRPr="009E1EBC" w:rsidR="006A07D4">
        <w:t>;</w:t>
      </w:r>
      <w:r w:rsidRPr="009E1EBC" w:rsidR="00C3573A">
        <w:t xml:space="preserve"> </w:t>
      </w:r>
      <w:r w:rsidRPr="009E1EBC">
        <w:rPr>
          <w:i/>
        </w:rPr>
        <w:t>Valentino</w:t>
      </w:r>
      <w:r w:rsidRPr="009E1EBC" w:rsidR="00BA4EAA">
        <w:rPr>
          <w:i/>
        </w:rPr>
        <w:t> </w:t>
      </w:r>
      <w:proofErr w:type="spellStart"/>
      <w:r w:rsidRPr="009E1EBC">
        <w:rPr>
          <w:i/>
        </w:rPr>
        <w:t>Acatrinei</w:t>
      </w:r>
      <w:proofErr w:type="spellEnd"/>
      <w:r w:rsidRPr="009E1EBC" w:rsidR="003A5315">
        <w:rPr>
          <w:snapToGrid w:val="0"/>
        </w:rPr>
        <w:t xml:space="preserve">, cited above, </w:t>
      </w:r>
      <w:r w:rsidRPr="009E1EBC" w:rsidR="006A07D4">
        <w:rPr>
          <w:snapToGrid w:val="0"/>
        </w:rPr>
        <w:t xml:space="preserve">§§ 58-61; </w:t>
      </w:r>
      <w:r w:rsidRPr="009E1EBC" w:rsidR="003A5315">
        <w:rPr>
          <w:snapToGrid w:val="0"/>
        </w:rPr>
        <w:t xml:space="preserve">and </w:t>
      </w:r>
      <w:proofErr w:type="spellStart"/>
      <w:r w:rsidRPr="009E1EBC" w:rsidR="00125001">
        <w:rPr>
          <w:i/>
        </w:rPr>
        <w:t>Niculescu</w:t>
      </w:r>
      <w:proofErr w:type="spellEnd"/>
      <w:r w:rsidRPr="009E1EBC" w:rsidR="00125001">
        <w:rPr>
          <w:i/>
        </w:rPr>
        <w:t xml:space="preserve"> v. </w:t>
      </w:r>
      <w:r w:rsidRPr="009E1EBC" w:rsidR="003A5315">
        <w:rPr>
          <w:i/>
        </w:rPr>
        <w:t>Romania</w:t>
      </w:r>
      <w:r w:rsidRPr="009E1EBC" w:rsidR="00A96A11">
        <w:rPr>
          <w:snapToGrid w:val="0"/>
        </w:rPr>
        <w:t>, no. </w:t>
      </w:r>
      <w:r w:rsidRPr="009E1EBC" w:rsidR="003A5315">
        <w:rPr>
          <w:snapToGrid w:val="0"/>
        </w:rPr>
        <w:t>25333/03, §§</w:t>
      </w:r>
      <w:r w:rsidRPr="009E1EBC" w:rsidR="00A96A11">
        <w:rPr>
          <w:snapToGrid w:val="0"/>
        </w:rPr>
        <w:t> </w:t>
      </w:r>
      <w:r w:rsidRPr="009E1EBC" w:rsidR="003A5315">
        <w:rPr>
          <w:snapToGrid w:val="0"/>
        </w:rPr>
        <w:t>99-102, 25</w:t>
      </w:r>
      <w:r w:rsidRPr="009E1EBC" w:rsidR="00605A23">
        <w:rPr>
          <w:snapToGrid w:val="0"/>
        </w:rPr>
        <w:t> </w:t>
      </w:r>
      <w:r w:rsidRPr="009E1EBC" w:rsidR="003A5315">
        <w:rPr>
          <w:snapToGrid w:val="0"/>
        </w:rPr>
        <w:t>June 2013). I</w:t>
      </w:r>
      <w:r w:rsidRPr="009E1EBC" w:rsidR="00C3573A">
        <w:t xml:space="preserve">t has ruled that the system lacked proper safeguards and thus breached the requirements of Article 8, in so far as the prosecutor authorising the surveillance was not independent from the executive (see </w:t>
      </w:r>
      <w:proofErr w:type="spellStart"/>
      <w:r w:rsidRPr="009E1EBC" w:rsidR="00C3573A">
        <w:rPr>
          <w:i/>
        </w:rPr>
        <w:t>Dumitru</w:t>
      </w:r>
      <w:proofErr w:type="spellEnd"/>
      <w:r w:rsidRPr="009E1EBC" w:rsidR="00C3573A">
        <w:rPr>
          <w:i/>
        </w:rPr>
        <w:t xml:space="preserve"> </w:t>
      </w:r>
      <w:proofErr w:type="spellStart"/>
      <w:r w:rsidRPr="009E1EBC" w:rsidR="00C3573A">
        <w:rPr>
          <w:i/>
        </w:rPr>
        <w:t>Popescu</w:t>
      </w:r>
      <w:proofErr w:type="spellEnd"/>
      <w:r w:rsidRPr="009E1EBC" w:rsidR="00C3573A">
        <w:t>, cited above, § 71); a prosecutor</w:t>
      </w:r>
      <w:r w:rsidRPr="009E1EBC" w:rsidR="009E1EBC">
        <w:t>’</w:t>
      </w:r>
      <w:r w:rsidRPr="009E1EBC" w:rsidR="00C3573A">
        <w:t>s decision to intercept communications was not subject to judicial review before being carried out (</w:t>
      </w:r>
      <w:r w:rsidRPr="009E1EBC" w:rsidR="00681887">
        <w:t>ibid.</w:t>
      </w:r>
      <w:r w:rsidRPr="009E1EBC" w:rsidR="00C3573A">
        <w:t>, § 72); person</w:t>
      </w:r>
      <w:r w:rsidRPr="009E1EBC" w:rsidR="00F86854">
        <w:t>s</w:t>
      </w:r>
      <w:r w:rsidRPr="009E1EBC" w:rsidR="00C3573A">
        <w:t xml:space="preserve"> affected by the surveillance could not challenge before a court the merits of the interception (</w:t>
      </w:r>
      <w:r w:rsidRPr="009E1EBC" w:rsidR="00681887">
        <w:t>ibid.</w:t>
      </w:r>
      <w:r w:rsidRPr="009E1EBC" w:rsidR="00C3573A">
        <w:t>, § 74); and there was no mention in the law of the circumstances in which the transcripts could be destroyed (</w:t>
      </w:r>
      <w:r w:rsidRPr="009E1EBC" w:rsidR="00F86854">
        <w:t>ibid.</w:t>
      </w:r>
      <w:r w:rsidRPr="009E1EBC" w:rsidR="00C3573A">
        <w:t>, § 79).</w:t>
      </w:r>
    </w:p>
    <w:p w:rsidRPr="009E1EBC" w:rsidR="003A5315" w:rsidP="009E1EBC" w:rsidRDefault="003A5315">
      <w:pPr>
        <w:pStyle w:val="ECHRPara"/>
      </w:pPr>
      <w:r w:rsidRPr="009E1EBC">
        <w:fldChar w:fldCharType="begin"/>
      </w:r>
      <w:r w:rsidRPr="009E1EBC">
        <w:instrText xml:space="preserve"> SEQ level0 \*arabic </w:instrText>
      </w:r>
      <w:r w:rsidRPr="009E1EBC">
        <w:fldChar w:fldCharType="separate"/>
      </w:r>
      <w:r w:rsidRPr="009E1EBC" w:rsidR="009E1EBC">
        <w:rPr>
          <w:noProof/>
        </w:rPr>
        <w:t>21</w:t>
      </w:r>
      <w:r w:rsidRPr="009E1EBC">
        <w:fldChar w:fldCharType="end"/>
      </w:r>
      <w:r w:rsidRPr="009E1EBC">
        <w:t>.  </w:t>
      </w:r>
      <w:r w:rsidRPr="009E1EBC" w:rsidR="00C3573A">
        <w:t xml:space="preserve">The Court notes that the facts of the present case are similar to the ones examined in </w:t>
      </w:r>
      <w:proofErr w:type="spellStart"/>
      <w:r w:rsidRPr="009E1EBC" w:rsidR="00C3573A">
        <w:rPr>
          <w:i/>
        </w:rPr>
        <w:t>Dumitru</w:t>
      </w:r>
      <w:proofErr w:type="spellEnd"/>
      <w:r w:rsidRPr="009E1EBC" w:rsidR="00C3573A">
        <w:rPr>
          <w:i/>
        </w:rPr>
        <w:t xml:space="preserve"> </w:t>
      </w:r>
      <w:proofErr w:type="spellStart"/>
      <w:r w:rsidRPr="009E1EBC" w:rsidR="00C3573A">
        <w:rPr>
          <w:i/>
        </w:rPr>
        <w:t>Popescu</w:t>
      </w:r>
      <w:proofErr w:type="spellEnd"/>
      <w:r w:rsidRPr="009E1EBC" w:rsidR="00C3573A">
        <w:t xml:space="preserve"> and</w:t>
      </w:r>
      <w:r w:rsidRPr="009E1EBC" w:rsidR="00064F3E">
        <w:t xml:space="preserve"> that</w:t>
      </w:r>
      <w:r w:rsidRPr="009E1EBC" w:rsidR="00C3573A">
        <w:t xml:space="preserve"> the same laws are applicable to them. </w:t>
      </w:r>
      <w:r w:rsidRPr="009E1EBC">
        <w:t>In so far as the Government argued that</w:t>
      </w:r>
      <w:r w:rsidRPr="009E1EBC" w:rsidR="00F86854">
        <w:t xml:space="preserve"> the</w:t>
      </w:r>
      <w:r w:rsidRPr="009E1EBC">
        <w:t xml:space="preserve"> applicant could have obtained an expert opinion</w:t>
      </w:r>
      <w:r w:rsidRPr="009E1EBC" w:rsidR="00F86854">
        <w:t xml:space="preserve"> from an independent authority</w:t>
      </w:r>
      <w:r w:rsidRPr="009E1EBC">
        <w:t xml:space="preserve"> on the </w:t>
      </w:r>
      <w:r w:rsidRPr="009E1EBC" w:rsidR="00F86854">
        <w:t xml:space="preserve">authenticity </w:t>
      </w:r>
      <w:r w:rsidRPr="009E1EBC">
        <w:t xml:space="preserve">and reliability of the </w:t>
      </w:r>
      <w:r w:rsidRPr="009E1EBC" w:rsidR="00064F3E">
        <w:t>transcript</w:t>
      </w:r>
      <w:r w:rsidRPr="009E1EBC" w:rsidR="00F86854">
        <w:t xml:space="preserve"> </w:t>
      </w:r>
      <w:r w:rsidRPr="009E1EBC" w:rsidR="00BA7B26">
        <w:t xml:space="preserve">(see paragraph </w:t>
      </w:r>
      <w:r w:rsidRPr="009E1EBC" w:rsidR="00BA7B26">
        <w:fldChar w:fldCharType="begin"/>
      </w:r>
      <w:r w:rsidRPr="009E1EBC" w:rsidR="00BA7B26">
        <w:instrText xml:space="preserve"> REF obs_guv \h </w:instrText>
      </w:r>
      <w:r w:rsidRPr="009E1EBC" w:rsidR="00BA7B26">
        <w:fldChar w:fldCharType="separate"/>
      </w:r>
      <w:r w:rsidRPr="009E1EBC" w:rsidR="009E1EBC">
        <w:rPr>
          <w:noProof/>
        </w:rPr>
        <w:t>18</w:t>
      </w:r>
      <w:r w:rsidRPr="009E1EBC" w:rsidR="00BA7B26">
        <w:fldChar w:fldCharType="end"/>
      </w:r>
      <w:r w:rsidRPr="009E1EBC" w:rsidR="00BA7B26">
        <w:t xml:space="preserve"> above)</w:t>
      </w:r>
      <w:r w:rsidRPr="009E1EBC">
        <w:t>, the Court has already found that such a possibility did not compensate</w:t>
      </w:r>
      <w:r w:rsidRPr="009E1EBC" w:rsidR="00F86854">
        <w:t xml:space="preserve"> </w:t>
      </w:r>
      <w:r w:rsidRPr="009E1EBC" w:rsidR="005171E5">
        <w:t>for</w:t>
      </w:r>
      <w:r w:rsidRPr="009E1EBC">
        <w:t xml:space="preserve"> the remaining flaws</w:t>
      </w:r>
      <w:r w:rsidRPr="009E1EBC" w:rsidR="00BA7B26">
        <w:t xml:space="preserve"> </w:t>
      </w:r>
      <w:r w:rsidRPr="009E1EBC" w:rsidR="005171E5">
        <w:t xml:space="preserve">which </w:t>
      </w:r>
      <w:r w:rsidRPr="009E1EBC" w:rsidR="00BA7B26">
        <w:t>it had i</w:t>
      </w:r>
      <w:r w:rsidRPr="009E1EBC">
        <w:t xml:space="preserve">dentified in the system and </w:t>
      </w:r>
      <w:r w:rsidRPr="009E1EBC" w:rsidR="005171E5">
        <w:t xml:space="preserve">which </w:t>
      </w:r>
      <w:r w:rsidRPr="009E1EBC" w:rsidR="00BA7B26">
        <w:t>had</w:t>
      </w:r>
      <w:r w:rsidRPr="009E1EBC">
        <w:t xml:space="preserve"> had an effect on the applicant</w:t>
      </w:r>
      <w:r w:rsidRPr="009E1EBC" w:rsidR="009E1EBC">
        <w:t>’</w:t>
      </w:r>
      <w:r w:rsidRPr="009E1EBC">
        <w:t xml:space="preserve">s rights (see </w:t>
      </w:r>
      <w:r w:rsidRPr="009E1EBC">
        <w:rPr>
          <w:i/>
        </w:rPr>
        <w:t xml:space="preserve">Valentino </w:t>
      </w:r>
      <w:proofErr w:type="spellStart"/>
      <w:r w:rsidRPr="009E1EBC">
        <w:rPr>
          <w:i/>
        </w:rPr>
        <w:t>Acatrinei</w:t>
      </w:r>
      <w:proofErr w:type="spellEnd"/>
      <w:r w:rsidRPr="009E1EBC">
        <w:t xml:space="preserve">, § 59, cited above, and </w:t>
      </w:r>
      <w:proofErr w:type="spellStart"/>
      <w:r w:rsidRPr="009E1EBC">
        <w:rPr>
          <w:i/>
        </w:rPr>
        <w:t>Niculescu</w:t>
      </w:r>
      <w:proofErr w:type="spellEnd"/>
      <w:r w:rsidRPr="009E1EBC">
        <w:t>, § 100, cited above).</w:t>
      </w:r>
    </w:p>
    <w:p w:rsidRPr="009E1EBC" w:rsidR="00C3573A" w:rsidP="009E1EBC" w:rsidRDefault="003A5315">
      <w:pPr>
        <w:pStyle w:val="ECHRPara"/>
      </w:pPr>
      <w:r w:rsidRPr="009E1EBC">
        <w:fldChar w:fldCharType="begin"/>
      </w:r>
      <w:r w:rsidRPr="009E1EBC">
        <w:instrText xml:space="preserve"> SEQ level0 \*arabic </w:instrText>
      </w:r>
      <w:r w:rsidRPr="009E1EBC">
        <w:fldChar w:fldCharType="separate"/>
      </w:r>
      <w:r w:rsidRPr="009E1EBC" w:rsidR="009E1EBC">
        <w:rPr>
          <w:noProof/>
        </w:rPr>
        <w:t>22</w:t>
      </w:r>
      <w:r w:rsidRPr="009E1EBC">
        <w:fldChar w:fldCharType="end"/>
      </w:r>
      <w:r w:rsidRPr="009E1EBC">
        <w:t>.  </w:t>
      </w:r>
      <w:r w:rsidRPr="009E1EBC" w:rsidR="00C3573A">
        <w:t xml:space="preserve">For these reasons, in the light of its previous case-law and having examined the observations submitted by the parties in the present case, the Court sees no reason to depart from the conclusion it reached in </w:t>
      </w:r>
      <w:r w:rsidRPr="009E1EBC">
        <w:t xml:space="preserve">the case of </w:t>
      </w:r>
      <w:proofErr w:type="spellStart"/>
      <w:r w:rsidRPr="009E1EBC" w:rsidR="00C3573A">
        <w:rPr>
          <w:i/>
        </w:rPr>
        <w:t>Dumitru</w:t>
      </w:r>
      <w:proofErr w:type="spellEnd"/>
      <w:r w:rsidRPr="009E1EBC" w:rsidR="001250F2">
        <w:rPr>
          <w:i/>
        </w:rPr>
        <w:t xml:space="preserve"> </w:t>
      </w:r>
      <w:proofErr w:type="spellStart"/>
      <w:r w:rsidRPr="009E1EBC" w:rsidR="00C3573A">
        <w:rPr>
          <w:i/>
        </w:rPr>
        <w:t>Popescu</w:t>
      </w:r>
      <w:proofErr w:type="spellEnd"/>
      <w:r w:rsidRPr="009E1EBC" w:rsidR="00C3573A">
        <w:t>, cited above, in particular given that the same laws are at issue in the case before it.</w:t>
      </w:r>
    </w:p>
    <w:p w:rsidRPr="009E1EBC" w:rsidR="00C3573A" w:rsidP="009E1EBC" w:rsidRDefault="003A5315">
      <w:pPr>
        <w:pStyle w:val="ECHRPara"/>
      </w:pPr>
      <w:r w:rsidRPr="009E1EBC">
        <w:fldChar w:fldCharType="begin"/>
      </w:r>
      <w:r w:rsidRPr="009E1EBC">
        <w:instrText xml:space="preserve"> SEQ level0 \*arabic </w:instrText>
      </w:r>
      <w:r w:rsidRPr="009E1EBC">
        <w:fldChar w:fldCharType="separate"/>
      </w:r>
      <w:r w:rsidRPr="009E1EBC" w:rsidR="009E1EBC">
        <w:rPr>
          <w:noProof/>
        </w:rPr>
        <w:t>23</w:t>
      </w:r>
      <w:r w:rsidRPr="009E1EBC">
        <w:fldChar w:fldCharType="end"/>
      </w:r>
      <w:r w:rsidRPr="009E1EBC">
        <w:t>.  </w:t>
      </w:r>
      <w:r w:rsidRPr="009E1EBC" w:rsidR="00C3573A">
        <w:t xml:space="preserve">Accordingly, the Court considers that in the present case there has been a violation of Article 8 of the Convention on account of a lack of safeguards in the procedure </w:t>
      </w:r>
      <w:r w:rsidRPr="009E1EBC" w:rsidR="005171E5">
        <w:t xml:space="preserve">governing </w:t>
      </w:r>
      <w:r w:rsidRPr="009E1EBC" w:rsidR="00C3573A">
        <w:t>telephone interceptions on grounds of national security.</w:t>
      </w:r>
    </w:p>
    <w:p w:rsidRPr="009E1EBC" w:rsidR="00D420F3" w:rsidP="009E1EBC" w:rsidRDefault="000800AF">
      <w:pPr>
        <w:pStyle w:val="ECHRHeading1"/>
      </w:pPr>
      <w:r w:rsidRPr="009E1EBC">
        <w:t>II</w:t>
      </w:r>
      <w:r w:rsidRPr="009E1EBC" w:rsidR="0077175D">
        <w:t>.</w:t>
      </w:r>
      <w:proofErr w:type="gramStart"/>
      <w:r w:rsidRPr="009E1EBC" w:rsidR="0077175D">
        <w:t>  APPLICATION</w:t>
      </w:r>
      <w:proofErr w:type="gramEnd"/>
      <w:r w:rsidRPr="009E1EBC" w:rsidR="0077175D">
        <w:t xml:space="preserve"> OF ARTICLE 41 OF THE CONVENTION</w:t>
      </w:r>
    </w:p>
    <w:p w:rsidRPr="009E1EBC" w:rsidR="00D420F3" w:rsidP="009E1EBC" w:rsidRDefault="00B0680F">
      <w:pPr>
        <w:pStyle w:val="ECHRPara"/>
      </w:pPr>
      <w:r w:rsidRPr="009E1EBC">
        <w:fldChar w:fldCharType="begin"/>
      </w:r>
      <w:r w:rsidRPr="009E1EBC">
        <w:instrText xml:space="preserve"> SEQ level0 \*arabic </w:instrText>
      </w:r>
      <w:r w:rsidRPr="009E1EBC">
        <w:fldChar w:fldCharType="separate"/>
      </w:r>
      <w:r w:rsidRPr="009E1EBC" w:rsidR="009E1EBC">
        <w:rPr>
          <w:noProof/>
        </w:rPr>
        <w:t>24</w:t>
      </w:r>
      <w:r w:rsidRPr="009E1EBC">
        <w:fldChar w:fldCharType="end"/>
      </w:r>
      <w:r w:rsidRPr="009E1EBC" w:rsidR="0077175D">
        <w:t>.  Article 41 of the Convention provides:</w:t>
      </w:r>
    </w:p>
    <w:p w:rsidRPr="009E1EBC" w:rsidR="00D420F3" w:rsidP="009E1EBC" w:rsidRDefault="0077175D">
      <w:pPr>
        <w:pStyle w:val="ECHRParaQuote"/>
        <w:keepNext/>
        <w:keepLines/>
      </w:pPr>
      <w:r w:rsidRPr="009E1EBC">
        <w:t>“If the Court finds that there has been a violation of the Convention or the Protocols thereto, and if the internal law of the High Contracting Party concerned allows only partial reparation to be made, the Court shall, if necessary, afford just satisfaction to the injured party.”</w:t>
      </w:r>
    </w:p>
    <w:p w:rsidRPr="009E1EBC" w:rsidR="00D420F3" w:rsidP="009E1EBC" w:rsidRDefault="0077175D">
      <w:pPr>
        <w:pStyle w:val="ECHRHeading2"/>
      </w:pPr>
      <w:r w:rsidRPr="009E1EBC">
        <w:t>A.  Damage</w:t>
      </w:r>
    </w:p>
    <w:p w:rsidRPr="009E1EBC" w:rsidR="00866357" w:rsidP="009E1EBC" w:rsidRDefault="00B0680F">
      <w:pPr>
        <w:pStyle w:val="ECHRPara"/>
      </w:pPr>
      <w:r w:rsidRPr="009E1EBC">
        <w:fldChar w:fldCharType="begin"/>
      </w:r>
      <w:r w:rsidRPr="009E1EBC">
        <w:instrText xml:space="preserve"> SEQ level0 \*arabic </w:instrText>
      </w:r>
      <w:r w:rsidRPr="009E1EBC">
        <w:fldChar w:fldCharType="separate"/>
      </w:r>
      <w:r w:rsidRPr="009E1EBC" w:rsidR="009E1EBC">
        <w:rPr>
          <w:noProof/>
        </w:rPr>
        <w:t>25</w:t>
      </w:r>
      <w:r w:rsidRPr="009E1EBC">
        <w:fldChar w:fldCharType="end"/>
      </w:r>
      <w:r w:rsidRPr="009E1EBC" w:rsidR="0077175D">
        <w:t xml:space="preserve">.  The applicant claimed </w:t>
      </w:r>
      <w:r w:rsidRPr="009E1EBC" w:rsidR="004744D5">
        <w:t xml:space="preserve">9,500 </w:t>
      </w:r>
      <w:r w:rsidRPr="009E1EBC" w:rsidR="0077175D">
        <w:t xml:space="preserve">euros (EUR) in respect of pecuniary </w:t>
      </w:r>
      <w:r w:rsidRPr="009E1EBC" w:rsidR="009748EE">
        <w:t xml:space="preserve">damage, referring to the loss of his income. He also claimed </w:t>
      </w:r>
      <w:r w:rsidRPr="009E1EBC" w:rsidR="00BF77E7">
        <w:t>EUR </w:t>
      </w:r>
      <w:r w:rsidRPr="009E1EBC" w:rsidR="004744D5">
        <w:t>500,000 in respect of</w:t>
      </w:r>
      <w:r w:rsidRPr="009E1EBC" w:rsidR="0077175D">
        <w:t xml:space="preserve"> non-pecuniary damage</w:t>
      </w:r>
      <w:r w:rsidRPr="009E1EBC" w:rsidR="009748EE">
        <w:t xml:space="preserve">. He argued that the criminal proceedings had affected his health, his professional reputation </w:t>
      </w:r>
      <w:r w:rsidRPr="009E1EBC" w:rsidR="005171E5">
        <w:t>and</w:t>
      </w:r>
      <w:r w:rsidRPr="009E1EBC" w:rsidR="009748EE">
        <w:t xml:space="preserve"> his family life.</w:t>
      </w:r>
    </w:p>
    <w:p w:rsidRPr="009E1EBC" w:rsidR="00D420F3" w:rsidP="009E1EBC" w:rsidRDefault="00B0680F">
      <w:pPr>
        <w:pStyle w:val="ECHRPara"/>
      </w:pPr>
      <w:r w:rsidRPr="009E1EBC">
        <w:fldChar w:fldCharType="begin"/>
      </w:r>
      <w:r w:rsidRPr="009E1EBC">
        <w:instrText xml:space="preserve"> SEQ level0 \*arabic </w:instrText>
      </w:r>
      <w:r w:rsidRPr="009E1EBC">
        <w:fldChar w:fldCharType="separate"/>
      </w:r>
      <w:r w:rsidRPr="009E1EBC" w:rsidR="009E1EBC">
        <w:rPr>
          <w:noProof/>
        </w:rPr>
        <w:t>26</w:t>
      </w:r>
      <w:r w:rsidRPr="009E1EBC">
        <w:fldChar w:fldCharType="end"/>
      </w:r>
      <w:r w:rsidRPr="009E1EBC" w:rsidR="0077175D">
        <w:t xml:space="preserve">.  The Government </w:t>
      </w:r>
      <w:r w:rsidRPr="009E1EBC" w:rsidR="009748EE">
        <w:t xml:space="preserve">submitted that there was no </w:t>
      </w:r>
      <w:r w:rsidRPr="009E1EBC" w:rsidR="00CC2C75">
        <w:t xml:space="preserve">causal </w:t>
      </w:r>
      <w:r w:rsidRPr="009E1EBC" w:rsidR="009748EE">
        <w:t xml:space="preserve">link between the object of the application and the damage the applicant claimed to have suffered. They further invited the Court to </w:t>
      </w:r>
      <w:r w:rsidRPr="009E1EBC" w:rsidR="005171E5">
        <w:t xml:space="preserve">hold </w:t>
      </w:r>
      <w:r w:rsidRPr="009E1EBC" w:rsidR="009748EE">
        <w:t>that the finding of a violation constitute</w:t>
      </w:r>
      <w:r w:rsidRPr="009E1EBC" w:rsidR="005171E5">
        <w:t>d</w:t>
      </w:r>
      <w:r w:rsidRPr="009E1EBC" w:rsidR="009748EE">
        <w:t xml:space="preserve"> in itself sufficient just satisfaction for the non</w:t>
      </w:r>
      <w:r w:rsidRPr="009E1EBC" w:rsidR="00BA4EAA">
        <w:noBreakHyphen/>
      </w:r>
      <w:r w:rsidRPr="009E1EBC" w:rsidR="009748EE">
        <w:t>pecuniary damage sustained by the applicant. In any event, they took the view that the sum requested by the applicant in respect of non</w:t>
      </w:r>
      <w:r w:rsidRPr="009E1EBC" w:rsidR="001250F2">
        <w:noBreakHyphen/>
      </w:r>
      <w:r w:rsidRPr="009E1EBC" w:rsidR="009748EE">
        <w:t xml:space="preserve">pecuniary damage was excessive in </w:t>
      </w:r>
      <w:r w:rsidRPr="009E1EBC" w:rsidR="005171E5">
        <w:t>the light of</w:t>
      </w:r>
      <w:r w:rsidRPr="009E1EBC" w:rsidR="009748EE">
        <w:t xml:space="preserve"> the Court</w:t>
      </w:r>
      <w:r w:rsidRPr="009E1EBC" w:rsidR="009E1EBC">
        <w:t>’</w:t>
      </w:r>
      <w:r w:rsidRPr="009E1EBC" w:rsidR="009748EE">
        <w:t>s relevant case-law.</w:t>
      </w:r>
    </w:p>
    <w:p w:rsidRPr="009E1EBC" w:rsidR="00D420F3" w:rsidP="009E1EBC" w:rsidRDefault="00B0680F">
      <w:pPr>
        <w:pStyle w:val="ECHRPara"/>
      </w:pPr>
      <w:r w:rsidRPr="009E1EBC">
        <w:fldChar w:fldCharType="begin"/>
      </w:r>
      <w:r w:rsidRPr="009E1EBC">
        <w:instrText xml:space="preserve"> SEQ level0 \*arabic </w:instrText>
      </w:r>
      <w:r w:rsidRPr="009E1EBC">
        <w:fldChar w:fldCharType="separate"/>
      </w:r>
      <w:r w:rsidRPr="009E1EBC" w:rsidR="009E1EBC">
        <w:rPr>
          <w:noProof/>
        </w:rPr>
        <w:t>27</w:t>
      </w:r>
      <w:r w:rsidRPr="009E1EBC">
        <w:fldChar w:fldCharType="end"/>
      </w:r>
      <w:r w:rsidRPr="009E1EBC" w:rsidR="0077175D">
        <w:t xml:space="preserve">.  The Court </w:t>
      </w:r>
      <w:r w:rsidRPr="009E1EBC" w:rsidR="00C41753">
        <w:t>considers that the applicant has not demonstrated the existence of a</w:t>
      </w:r>
      <w:r w:rsidRPr="009E1EBC" w:rsidR="0077175D">
        <w:t xml:space="preserve"> causal link between the violation </w:t>
      </w:r>
      <w:r w:rsidRPr="009E1EBC" w:rsidR="00AF3122">
        <w:t>of Article 8 of the Convention</w:t>
      </w:r>
      <w:r w:rsidRPr="009E1EBC" w:rsidR="0077175D">
        <w:t xml:space="preserve"> and the pecuniary damage alleged; it therefore rejects this claim.</w:t>
      </w:r>
      <w:r w:rsidRPr="009E1EBC" w:rsidR="0097718E">
        <w:rPr>
          <w:rFonts w:ascii="Arial" w:hAnsi="Arial" w:cs="Arial"/>
        </w:rPr>
        <w:t xml:space="preserve"> </w:t>
      </w:r>
      <w:r w:rsidRPr="009E1EBC" w:rsidR="0097718E">
        <w:t>It also considers that the finding of a violation constitutes sufficient just satisfaction for any non-pecuniary damage that may have been sustained by the applicant (</w:t>
      </w:r>
      <w:r w:rsidRPr="009E1EBC" w:rsidR="005171E5">
        <w:t xml:space="preserve">see </w:t>
      </w:r>
      <w:proofErr w:type="spellStart"/>
      <w:r w:rsidRPr="009E1EBC" w:rsidR="0097718E">
        <w:rPr>
          <w:i/>
        </w:rPr>
        <w:t>Dumitru</w:t>
      </w:r>
      <w:proofErr w:type="spellEnd"/>
      <w:r w:rsidRPr="009E1EBC" w:rsidR="0097718E">
        <w:rPr>
          <w:i/>
        </w:rPr>
        <w:t xml:space="preserve"> </w:t>
      </w:r>
      <w:proofErr w:type="spellStart"/>
      <w:r w:rsidRPr="009E1EBC" w:rsidR="0097718E">
        <w:rPr>
          <w:i/>
        </w:rPr>
        <w:t>Popescu</w:t>
      </w:r>
      <w:proofErr w:type="spellEnd"/>
      <w:r w:rsidRPr="009E1EBC" w:rsidR="0097718E">
        <w:t xml:space="preserve">, </w:t>
      </w:r>
      <w:r w:rsidRPr="009E1EBC" w:rsidR="005171E5">
        <w:t xml:space="preserve">cited above, </w:t>
      </w:r>
      <w:r w:rsidRPr="009E1EBC" w:rsidR="0097718E">
        <w:t>§ 116).</w:t>
      </w:r>
    </w:p>
    <w:p w:rsidRPr="009E1EBC" w:rsidR="00D420F3" w:rsidP="009E1EBC" w:rsidRDefault="0077175D">
      <w:pPr>
        <w:pStyle w:val="ECHRHeading2"/>
      </w:pPr>
      <w:r w:rsidRPr="009E1EBC">
        <w:t>B.  Costs and expenses</w:t>
      </w:r>
    </w:p>
    <w:p w:rsidRPr="009E1EBC" w:rsidR="00866357" w:rsidP="009E1EBC" w:rsidRDefault="00B0680F">
      <w:pPr>
        <w:pStyle w:val="ECHRPara"/>
      </w:pPr>
      <w:r w:rsidRPr="009E1EBC">
        <w:fldChar w:fldCharType="begin"/>
      </w:r>
      <w:r w:rsidRPr="009E1EBC">
        <w:instrText xml:space="preserve"> SEQ level0 \*arabic </w:instrText>
      </w:r>
      <w:r w:rsidRPr="009E1EBC">
        <w:fldChar w:fldCharType="separate"/>
      </w:r>
      <w:r w:rsidRPr="009E1EBC" w:rsidR="009E1EBC">
        <w:rPr>
          <w:noProof/>
        </w:rPr>
        <w:t>28</w:t>
      </w:r>
      <w:r w:rsidRPr="009E1EBC">
        <w:fldChar w:fldCharType="end"/>
      </w:r>
      <w:r w:rsidRPr="009E1EBC" w:rsidR="0077175D">
        <w:t xml:space="preserve">.  The applicant also claimed EUR </w:t>
      </w:r>
      <w:r w:rsidRPr="009E1EBC" w:rsidR="0097718E">
        <w:t>5,000</w:t>
      </w:r>
      <w:r w:rsidRPr="009E1EBC" w:rsidR="0077175D">
        <w:t xml:space="preserve"> for the costs and expenses incurred before the domestic courts</w:t>
      </w:r>
      <w:r w:rsidRPr="009E1EBC" w:rsidR="001A266C">
        <w:t xml:space="preserve"> and the Court. He submitted some documents in support of his claim</w:t>
      </w:r>
      <w:r w:rsidRPr="009E1EBC" w:rsidR="005171E5">
        <w:t>,</w:t>
      </w:r>
      <w:r w:rsidRPr="009E1EBC" w:rsidR="001A266C">
        <w:t xml:space="preserve"> </w:t>
      </w:r>
      <w:r w:rsidRPr="009E1EBC" w:rsidR="007B66F6">
        <w:t>representing transport fees and legal fees</w:t>
      </w:r>
      <w:r w:rsidRPr="009E1EBC" w:rsidR="001A266C">
        <w:t xml:space="preserve"> incurred during </w:t>
      </w:r>
      <w:r w:rsidRPr="009E1EBC" w:rsidR="005171E5">
        <w:t xml:space="preserve">the </w:t>
      </w:r>
      <w:r w:rsidRPr="009E1EBC" w:rsidR="001A266C">
        <w:t>domestic proceedings</w:t>
      </w:r>
      <w:r w:rsidRPr="009E1EBC" w:rsidR="007B66F6">
        <w:t xml:space="preserve">, and indicated that he could not submit all </w:t>
      </w:r>
      <w:r w:rsidRPr="009E1EBC" w:rsidR="005171E5">
        <w:t xml:space="preserve">the </w:t>
      </w:r>
      <w:r w:rsidRPr="009E1EBC" w:rsidR="007B66F6">
        <w:t xml:space="preserve">documentary evidence because he </w:t>
      </w:r>
      <w:r w:rsidRPr="009E1EBC" w:rsidR="005171E5">
        <w:t xml:space="preserve">had </w:t>
      </w:r>
      <w:r w:rsidRPr="009E1EBC" w:rsidR="007B66F6">
        <w:t xml:space="preserve">not </w:t>
      </w:r>
      <w:r w:rsidRPr="009E1EBC" w:rsidR="005171E5">
        <w:t xml:space="preserve">kept </w:t>
      </w:r>
      <w:r w:rsidRPr="009E1EBC" w:rsidR="007B66F6">
        <w:t xml:space="preserve">it all. </w:t>
      </w:r>
      <w:r w:rsidRPr="009E1EBC" w:rsidR="001A266C">
        <w:t>In relation to the proceedings before the Court</w:t>
      </w:r>
      <w:r w:rsidRPr="009E1EBC" w:rsidR="00BF77E7">
        <w:t xml:space="preserve">, he submitted copies of receipts for </w:t>
      </w:r>
      <w:r w:rsidRPr="009E1EBC" w:rsidR="00AF3122">
        <w:t xml:space="preserve">a value of 420 Romanian lei (RON) for </w:t>
      </w:r>
      <w:r w:rsidRPr="009E1EBC" w:rsidR="00BF77E7">
        <w:t>the translation of two documents from Romanian to English and from English to Romanian</w:t>
      </w:r>
      <w:r w:rsidRPr="009E1EBC" w:rsidR="005171E5">
        <w:t>,</w:t>
      </w:r>
      <w:r w:rsidRPr="009E1EBC" w:rsidR="00BF77E7">
        <w:t xml:space="preserve"> as well as copies of three receipts</w:t>
      </w:r>
      <w:r w:rsidRPr="009E1EBC" w:rsidR="00AF3122">
        <w:t xml:space="preserve"> for a value of RON 109.85</w:t>
      </w:r>
      <w:r w:rsidRPr="009E1EBC" w:rsidR="00BF77E7">
        <w:t xml:space="preserve"> </w:t>
      </w:r>
      <w:r w:rsidRPr="009E1EBC" w:rsidR="005171E5">
        <w:t xml:space="preserve">issued </w:t>
      </w:r>
      <w:r w:rsidRPr="009E1EBC" w:rsidR="00BF77E7">
        <w:t>by the Romanian postal services.</w:t>
      </w:r>
    </w:p>
    <w:p w:rsidRPr="009E1EBC" w:rsidR="00D420F3" w:rsidP="009E1EBC" w:rsidRDefault="00B0680F">
      <w:pPr>
        <w:pStyle w:val="ECHRPara"/>
      </w:pPr>
      <w:r w:rsidRPr="009E1EBC">
        <w:fldChar w:fldCharType="begin"/>
      </w:r>
      <w:r w:rsidRPr="009E1EBC">
        <w:instrText xml:space="preserve"> SEQ level0 \*arabic </w:instrText>
      </w:r>
      <w:r w:rsidRPr="009E1EBC">
        <w:fldChar w:fldCharType="separate"/>
      </w:r>
      <w:r w:rsidRPr="009E1EBC" w:rsidR="009E1EBC">
        <w:rPr>
          <w:noProof/>
        </w:rPr>
        <w:t>29</w:t>
      </w:r>
      <w:r w:rsidRPr="009E1EBC">
        <w:fldChar w:fldCharType="end"/>
      </w:r>
      <w:r w:rsidRPr="009E1EBC" w:rsidR="0077175D">
        <w:t xml:space="preserve">.  The Government </w:t>
      </w:r>
      <w:r w:rsidRPr="009E1EBC" w:rsidR="001A266C">
        <w:t>argued that there was no causal link between the costs incurred during the domestic proceedings and the interference with the applicant</w:t>
      </w:r>
      <w:r w:rsidRPr="009E1EBC" w:rsidR="009E1EBC">
        <w:t>’</w:t>
      </w:r>
      <w:r w:rsidRPr="009E1EBC" w:rsidR="001A266C">
        <w:t>s private life. They d</w:t>
      </w:r>
      <w:r w:rsidRPr="009E1EBC" w:rsidR="00BF77E7">
        <w:t>id</w:t>
      </w:r>
      <w:r w:rsidRPr="009E1EBC" w:rsidR="001A266C">
        <w:t xml:space="preserve"> not </w:t>
      </w:r>
      <w:r w:rsidRPr="009E1EBC" w:rsidR="005171E5">
        <w:t>object to</w:t>
      </w:r>
      <w:r w:rsidRPr="009E1EBC" w:rsidR="001A266C">
        <w:t xml:space="preserve"> the applicant</w:t>
      </w:r>
      <w:r w:rsidRPr="009E1EBC" w:rsidR="009E1EBC">
        <w:t>’</w:t>
      </w:r>
      <w:r w:rsidRPr="009E1EBC" w:rsidR="005171E5">
        <w:t>s</w:t>
      </w:r>
      <w:r w:rsidRPr="009E1EBC" w:rsidR="001A266C">
        <w:t xml:space="preserve"> be</w:t>
      </w:r>
      <w:r w:rsidRPr="009E1EBC" w:rsidR="005171E5">
        <w:t>ing</w:t>
      </w:r>
      <w:r w:rsidRPr="009E1EBC" w:rsidR="001A266C">
        <w:t xml:space="preserve"> awarded the costs </w:t>
      </w:r>
      <w:r w:rsidRPr="009E1EBC" w:rsidR="005171E5">
        <w:t xml:space="preserve">of </w:t>
      </w:r>
      <w:r w:rsidRPr="009E1EBC" w:rsidR="001A266C">
        <w:t>the proceedings before the Court</w:t>
      </w:r>
      <w:r w:rsidRPr="009E1EBC" w:rsidR="00BF77E7">
        <w:t xml:space="preserve">, but </w:t>
      </w:r>
      <w:r w:rsidRPr="009E1EBC" w:rsidR="005171E5">
        <w:t>submitted</w:t>
      </w:r>
      <w:r w:rsidRPr="009E1EBC" w:rsidR="00BF77E7">
        <w:t xml:space="preserve"> that the translation from English to Romanian had not been justified and that two of the postal receipts were barely legible.</w:t>
      </w:r>
    </w:p>
    <w:p w:rsidRPr="009E1EBC" w:rsidR="00D420F3" w:rsidP="009E1EBC" w:rsidRDefault="00B0680F">
      <w:pPr>
        <w:pStyle w:val="ECHRPara"/>
      </w:pPr>
      <w:r w:rsidRPr="009E1EBC">
        <w:fldChar w:fldCharType="begin"/>
      </w:r>
      <w:r w:rsidRPr="009E1EBC">
        <w:instrText xml:space="preserve"> SEQ level0 \*arabic </w:instrText>
      </w:r>
      <w:r w:rsidRPr="009E1EBC">
        <w:fldChar w:fldCharType="separate"/>
      </w:r>
      <w:r w:rsidRPr="009E1EBC" w:rsidR="009E1EBC">
        <w:rPr>
          <w:noProof/>
        </w:rPr>
        <w:t>30</w:t>
      </w:r>
      <w:r w:rsidRPr="009E1EBC">
        <w:fldChar w:fldCharType="end"/>
      </w:r>
      <w:r w:rsidRPr="009E1EBC" w:rsidR="0077175D">
        <w:t>.  </w:t>
      </w:r>
      <w:r w:rsidRPr="009E1EBC" w:rsidR="00BF77E7">
        <w:t>According to the Court</w:t>
      </w:r>
      <w:r w:rsidRPr="009E1EBC" w:rsidR="009E1EBC">
        <w:t>’</w:t>
      </w:r>
      <w:r w:rsidRPr="009E1EBC" w:rsidR="00BF77E7">
        <w:t xml:space="preserve">s case-law, an applicant is entitled to the reimbursement of costs and expenses only in so far as it has been shown that these </w:t>
      </w:r>
      <w:r w:rsidRPr="009E1EBC" w:rsidR="005171E5">
        <w:t>were</w:t>
      </w:r>
      <w:r w:rsidRPr="009E1EBC" w:rsidR="00BF77E7">
        <w:t xml:space="preserve"> actually and necessarily incurred and are reasonable as to quantum. In the present case,</w:t>
      </w:r>
      <w:r w:rsidRPr="009E1EBC" w:rsidR="00AF3122">
        <w:t xml:space="preserve"> r</w:t>
      </w:r>
      <w:r w:rsidRPr="009E1EBC">
        <w:t>egard</w:t>
      </w:r>
      <w:r w:rsidRPr="009E1EBC" w:rsidR="0077175D">
        <w:t xml:space="preserve"> being had to the documents in its possession and </w:t>
      </w:r>
      <w:r w:rsidRPr="009E1EBC">
        <w:t>to its case-law</w:t>
      </w:r>
      <w:r w:rsidRPr="009E1EBC" w:rsidR="0077175D">
        <w:t>, the Court</w:t>
      </w:r>
      <w:r w:rsidRPr="009E1EBC" w:rsidR="00AF3122">
        <w:t xml:space="preserve"> rejects the applicant</w:t>
      </w:r>
      <w:r w:rsidRPr="009E1EBC" w:rsidR="009E1EBC">
        <w:t>’</w:t>
      </w:r>
      <w:r w:rsidRPr="009E1EBC" w:rsidR="00AF3122">
        <w:t xml:space="preserve">s claim regarding the costs and </w:t>
      </w:r>
      <w:proofErr w:type="gramStart"/>
      <w:r w:rsidRPr="009E1EBC" w:rsidR="00AF3122">
        <w:t>expenses incurred in</w:t>
      </w:r>
      <w:r w:rsidRPr="009E1EBC" w:rsidR="005171E5">
        <w:t xml:space="preserve"> the</w:t>
      </w:r>
      <w:r w:rsidRPr="009E1EBC" w:rsidR="00AF3122">
        <w:t xml:space="preserve"> domestic proceedings and </w:t>
      </w:r>
      <w:r w:rsidRPr="009E1EBC" w:rsidR="0077175D">
        <w:t>award</w:t>
      </w:r>
      <w:r w:rsidRPr="009E1EBC" w:rsidR="00AF3122">
        <w:t>s</w:t>
      </w:r>
      <w:proofErr w:type="gramEnd"/>
      <w:r w:rsidRPr="009E1EBC" w:rsidR="00AF3122">
        <w:t xml:space="preserve"> him</w:t>
      </w:r>
      <w:r w:rsidRPr="009E1EBC" w:rsidR="0077175D">
        <w:t xml:space="preserve"> the sum of EUR </w:t>
      </w:r>
      <w:r w:rsidRPr="009E1EBC" w:rsidR="00BF77E7">
        <w:t>1</w:t>
      </w:r>
      <w:r w:rsidRPr="009E1EBC" w:rsidR="00D5689A">
        <w:t>18</w:t>
      </w:r>
      <w:r w:rsidRPr="009E1EBC" w:rsidR="0077175D">
        <w:t xml:space="preserve"> for the proceedings before the Court.</w:t>
      </w:r>
    </w:p>
    <w:p w:rsidRPr="009E1EBC" w:rsidR="00D420F3" w:rsidP="009E1EBC" w:rsidRDefault="0077175D">
      <w:pPr>
        <w:pStyle w:val="ECHRHeading2"/>
      </w:pPr>
      <w:r w:rsidRPr="009E1EBC">
        <w:t>C.  Default interest</w:t>
      </w:r>
    </w:p>
    <w:p w:rsidRPr="009E1EBC" w:rsidR="00D420F3" w:rsidP="009E1EBC" w:rsidRDefault="00B0680F">
      <w:pPr>
        <w:pStyle w:val="ECHRPara"/>
      </w:pPr>
      <w:r w:rsidRPr="009E1EBC">
        <w:fldChar w:fldCharType="begin"/>
      </w:r>
      <w:r w:rsidRPr="009E1EBC">
        <w:instrText xml:space="preserve"> SEQ level0 \*arabic </w:instrText>
      </w:r>
      <w:r w:rsidRPr="009E1EBC">
        <w:fldChar w:fldCharType="separate"/>
      </w:r>
      <w:r w:rsidRPr="009E1EBC" w:rsidR="009E1EBC">
        <w:rPr>
          <w:noProof/>
        </w:rPr>
        <w:t>31</w:t>
      </w:r>
      <w:r w:rsidRPr="009E1EBC">
        <w:fldChar w:fldCharType="end"/>
      </w:r>
      <w:r w:rsidRPr="009E1EBC" w:rsidR="0077175D">
        <w:t>.  The Court considers it appropriate that the default interest rate should be based on the marginal lending rate of the European Central Bank, to which should be added three percentage points.</w:t>
      </w:r>
    </w:p>
    <w:p w:rsidRPr="009E1EBC" w:rsidR="00D420F3" w:rsidP="009E1EBC" w:rsidRDefault="0077175D">
      <w:pPr>
        <w:pStyle w:val="ECHRTitle1"/>
      </w:pPr>
      <w:r w:rsidRPr="009E1EBC">
        <w:t>FOR THESE REASONS, THE COURT</w:t>
      </w:r>
      <w:r w:rsidRPr="009E1EBC" w:rsidR="00B0680F">
        <w:t>, UNANIMOUSLY,</w:t>
      </w:r>
    </w:p>
    <w:p w:rsidRPr="009E1EBC" w:rsidR="00D420F3" w:rsidP="009E1EBC" w:rsidRDefault="0077175D">
      <w:pPr>
        <w:pStyle w:val="JuList"/>
      </w:pPr>
      <w:r w:rsidRPr="009E1EBC">
        <w:t>1.  </w:t>
      </w:r>
      <w:proofErr w:type="gramStart"/>
      <w:r w:rsidRPr="009E1EBC">
        <w:rPr>
          <w:i/>
        </w:rPr>
        <w:t>Declares</w:t>
      </w:r>
      <w:proofErr w:type="gramEnd"/>
      <w:r w:rsidRPr="009E1EBC">
        <w:rPr>
          <w:color w:val="000000"/>
        </w:rPr>
        <w:t xml:space="preserve"> </w:t>
      </w:r>
      <w:r w:rsidRPr="009E1EBC">
        <w:t xml:space="preserve">the </w:t>
      </w:r>
      <w:r w:rsidRPr="009E1EBC" w:rsidR="00B0680F">
        <w:t>application</w:t>
      </w:r>
      <w:r w:rsidRPr="009E1EBC">
        <w:t xml:space="preserve"> admissible;</w:t>
      </w:r>
    </w:p>
    <w:p w:rsidRPr="009E1EBC" w:rsidR="000800AF" w:rsidP="009E1EBC" w:rsidRDefault="000800AF">
      <w:pPr>
        <w:pStyle w:val="JuList"/>
      </w:pPr>
    </w:p>
    <w:p w:rsidRPr="009E1EBC" w:rsidR="00D420F3" w:rsidP="009E1EBC" w:rsidRDefault="000800AF">
      <w:pPr>
        <w:pStyle w:val="JuList"/>
      </w:pPr>
      <w:r w:rsidRPr="009E1EBC">
        <w:t>2</w:t>
      </w:r>
      <w:r w:rsidRPr="009E1EBC" w:rsidR="0077175D">
        <w:t>.  </w:t>
      </w:r>
      <w:proofErr w:type="gramStart"/>
      <w:r w:rsidRPr="009E1EBC" w:rsidR="0077175D">
        <w:rPr>
          <w:i/>
        </w:rPr>
        <w:t>Holds</w:t>
      </w:r>
      <w:proofErr w:type="gramEnd"/>
      <w:r w:rsidRPr="009E1EBC" w:rsidR="0077175D">
        <w:rPr>
          <w:color w:val="000000"/>
        </w:rPr>
        <w:t xml:space="preserve"> </w:t>
      </w:r>
      <w:r w:rsidRPr="009E1EBC" w:rsidR="0077175D">
        <w:t xml:space="preserve">that there has been a violation of Article </w:t>
      </w:r>
      <w:r w:rsidRPr="009E1EBC">
        <w:t>8 o</w:t>
      </w:r>
      <w:r w:rsidRPr="009E1EBC" w:rsidR="0077175D">
        <w:t>f the Convention;</w:t>
      </w:r>
    </w:p>
    <w:p w:rsidRPr="009E1EBC" w:rsidR="00D420F3" w:rsidP="009E1EBC" w:rsidRDefault="00D420F3">
      <w:pPr>
        <w:pStyle w:val="JuList"/>
      </w:pPr>
    </w:p>
    <w:p w:rsidRPr="009E1EBC" w:rsidR="00D420F3" w:rsidP="009E1EBC" w:rsidRDefault="000800AF">
      <w:pPr>
        <w:pStyle w:val="JuList"/>
      </w:pPr>
      <w:r w:rsidRPr="009E1EBC">
        <w:t>3</w:t>
      </w:r>
      <w:r w:rsidRPr="009E1EBC" w:rsidR="0077175D">
        <w:t>.  </w:t>
      </w:r>
      <w:r w:rsidRPr="009E1EBC" w:rsidR="0077175D">
        <w:rPr>
          <w:i/>
        </w:rPr>
        <w:t>Holds</w:t>
      </w:r>
      <w:r w:rsidRPr="009E1EBC" w:rsidR="0077175D">
        <w:rPr>
          <w:color w:val="000000"/>
        </w:rPr>
        <w:t xml:space="preserve"> </w:t>
      </w:r>
      <w:r w:rsidRPr="009E1EBC" w:rsidR="0077175D">
        <w:t xml:space="preserve">that </w:t>
      </w:r>
      <w:r w:rsidRPr="009E1EBC">
        <w:t>the finding of a violation constitutes in itself sufficient just satisfaction for the non-pecuniary damage sustained by the applicant;</w:t>
      </w:r>
    </w:p>
    <w:p w:rsidRPr="009E1EBC" w:rsidR="00D420F3" w:rsidP="009E1EBC" w:rsidRDefault="00D420F3">
      <w:pPr>
        <w:pStyle w:val="JuList"/>
      </w:pPr>
    </w:p>
    <w:p w:rsidRPr="009E1EBC" w:rsidR="00B0680F" w:rsidP="009E1EBC" w:rsidRDefault="000800AF">
      <w:pPr>
        <w:pStyle w:val="JuList"/>
      </w:pPr>
      <w:r w:rsidRPr="009E1EBC">
        <w:t>4</w:t>
      </w:r>
      <w:r w:rsidRPr="009E1EBC" w:rsidR="0077175D">
        <w:t>.  </w:t>
      </w:r>
      <w:r w:rsidRPr="009E1EBC" w:rsidR="0077175D">
        <w:rPr>
          <w:i/>
        </w:rPr>
        <w:t>Holds</w:t>
      </w:r>
    </w:p>
    <w:p w:rsidRPr="009E1EBC" w:rsidR="00D420F3" w:rsidP="009E1EBC" w:rsidRDefault="0077175D">
      <w:pPr>
        <w:pStyle w:val="JuLista"/>
      </w:pPr>
      <w:r w:rsidRPr="009E1EBC">
        <w:t>(a)  that the respondent State is to pay the applicant, within three months,</w:t>
      </w:r>
      <w:r w:rsidRPr="009E1EBC" w:rsidR="00AF3122">
        <w:t xml:space="preserve"> EUR 1</w:t>
      </w:r>
      <w:r w:rsidRPr="009E1EBC" w:rsidR="00D5689A">
        <w:t>18</w:t>
      </w:r>
      <w:r w:rsidRPr="009E1EBC" w:rsidR="00942774">
        <w:t xml:space="preserve"> (one hundred</w:t>
      </w:r>
      <w:r w:rsidRPr="009E1EBC" w:rsidR="003F72F1">
        <w:t xml:space="preserve"> </w:t>
      </w:r>
      <w:r w:rsidRPr="009E1EBC" w:rsidR="00D5689A">
        <w:t>eighteen</w:t>
      </w:r>
      <w:r w:rsidRPr="009E1EBC" w:rsidR="003F72F1">
        <w:t xml:space="preserve"> </w:t>
      </w:r>
      <w:r w:rsidRPr="009E1EBC" w:rsidR="00942774">
        <w:t>euros)</w:t>
      </w:r>
      <w:r w:rsidRPr="009E1EBC" w:rsidR="00C41753">
        <w:t>, plus any tax that may be chargeable to the applicant,</w:t>
      </w:r>
      <w:r w:rsidRPr="009E1EBC">
        <w:rPr>
          <w:b/>
        </w:rPr>
        <w:t xml:space="preserve"> </w:t>
      </w:r>
      <w:r w:rsidRPr="009E1EBC">
        <w:t xml:space="preserve">to be converted into </w:t>
      </w:r>
      <w:r w:rsidRPr="009E1EBC">
        <w:rPr>
          <w:color w:val="000000"/>
        </w:rPr>
        <w:t>the currency of the respondent State</w:t>
      </w:r>
      <w:r w:rsidRPr="009E1EBC">
        <w:t xml:space="preserve"> at the rate applicable at the date of settlement</w:t>
      </w:r>
      <w:r w:rsidRPr="009E1EBC" w:rsidR="00AF3122">
        <w:t xml:space="preserve">, </w:t>
      </w:r>
      <w:r w:rsidRPr="009E1EBC">
        <w:t>in respect of costs and expenses;</w:t>
      </w:r>
    </w:p>
    <w:p w:rsidRPr="009E1EBC" w:rsidR="00D420F3" w:rsidP="009E1EBC" w:rsidRDefault="0077175D">
      <w:pPr>
        <w:pStyle w:val="JuLista"/>
      </w:pPr>
      <w:r w:rsidRPr="009E1EBC">
        <w:t>(b)  that from the expiry of the above-mentioned three months until settlement simple interest shall be payable on the above amount at a rate equal to the marginal lending rate of the European Central Bank during the default period plus three percentage points;</w:t>
      </w:r>
    </w:p>
    <w:p w:rsidRPr="009E1EBC" w:rsidR="009E1EBC" w:rsidP="009E1EBC" w:rsidRDefault="009E1EBC">
      <w:pPr>
        <w:pStyle w:val="JuLista"/>
      </w:pPr>
    </w:p>
    <w:p w:rsidRPr="009E1EBC" w:rsidR="00D420F3" w:rsidP="009E1EBC" w:rsidRDefault="000800AF">
      <w:pPr>
        <w:pStyle w:val="JuList"/>
        <w:keepNext/>
        <w:keepLines/>
      </w:pPr>
      <w:r w:rsidRPr="009E1EBC">
        <w:t>5</w:t>
      </w:r>
      <w:r w:rsidRPr="009E1EBC" w:rsidR="0077175D">
        <w:t>.  </w:t>
      </w:r>
      <w:r w:rsidRPr="009E1EBC" w:rsidR="0077175D">
        <w:rPr>
          <w:i/>
        </w:rPr>
        <w:t>Dismisses</w:t>
      </w:r>
      <w:r w:rsidRPr="009E1EBC" w:rsidR="0077175D">
        <w:rPr>
          <w:color w:val="000000"/>
        </w:rPr>
        <w:t xml:space="preserve"> </w:t>
      </w:r>
      <w:r w:rsidRPr="009E1EBC" w:rsidR="0077175D">
        <w:t>the remainder of the applicant</w:t>
      </w:r>
      <w:r w:rsidRPr="009E1EBC" w:rsidR="009E1EBC">
        <w:t>’</w:t>
      </w:r>
      <w:r w:rsidRPr="009E1EBC" w:rsidR="00B0680F">
        <w:t>s</w:t>
      </w:r>
      <w:r w:rsidRPr="009E1EBC" w:rsidR="0077175D">
        <w:t xml:space="preserve"> claim for just satisfaction.</w:t>
      </w:r>
    </w:p>
    <w:p w:rsidRPr="009E1EBC" w:rsidR="00D420F3" w:rsidP="009E1EBC" w:rsidRDefault="0077175D">
      <w:pPr>
        <w:pStyle w:val="JuParaLast"/>
      </w:pPr>
      <w:r w:rsidRPr="009E1EBC">
        <w:t xml:space="preserve">Done in English, and notified in writing on </w:t>
      </w:r>
      <w:r w:rsidRPr="009E1EBC" w:rsidR="006B1BA2">
        <w:t>4 December 2018</w:t>
      </w:r>
      <w:r w:rsidRPr="009E1EBC">
        <w:t>, pursuant to Rule 77 §§ 2 and 3 of the Rules of Court.</w:t>
      </w:r>
    </w:p>
    <w:p w:rsidRPr="009E1EBC" w:rsidR="00D420F3" w:rsidP="009E1EBC" w:rsidRDefault="0077175D">
      <w:pPr>
        <w:pStyle w:val="JuSigned"/>
      </w:pPr>
      <w:r w:rsidRPr="009E1EBC">
        <w:tab/>
      </w:r>
      <w:r w:rsidRPr="009E1EBC" w:rsidR="00B0680F">
        <w:t>Andrea Tamietti</w:t>
      </w:r>
      <w:r w:rsidRPr="009E1EBC">
        <w:tab/>
      </w:r>
      <w:r w:rsidRPr="009E1EBC" w:rsidR="006B1BA2">
        <w:t>Paulo Pinto de Albuquerque</w:t>
      </w:r>
      <w:r w:rsidRPr="009E1EBC">
        <w:rPr>
          <w:szCs w:val="24"/>
        </w:rPr>
        <w:br/>
      </w:r>
      <w:r w:rsidRPr="009E1EBC">
        <w:tab/>
      </w:r>
      <w:r w:rsidRPr="009E1EBC" w:rsidR="00B0680F">
        <w:t xml:space="preserve">Deputy </w:t>
      </w:r>
      <w:r w:rsidRPr="009E1EBC" w:rsidR="00B0680F">
        <w:rPr>
          <w:iCs/>
        </w:rPr>
        <w:t>Registrar</w:t>
      </w:r>
      <w:r w:rsidRPr="009E1EBC">
        <w:tab/>
        <w:t>President</w:t>
      </w:r>
    </w:p>
    <w:p w:rsidRPr="009E1EBC" w:rsidR="0030724F" w:rsidP="009E1EBC" w:rsidRDefault="0030724F">
      <w:pPr>
        <w:pStyle w:val="JuParaLast"/>
      </w:pPr>
    </w:p>
    <w:sectPr w:rsidRPr="009E1EBC" w:rsidR="0030724F" w:rsidSect="00A60C6E">
      <w:headerReference w:type="even" r:id="rId14"/>
      <w:headerReference w:type="default" r:id="rId15"/>
      <w:footnotePr>
        <w:numRestart w:val="eachSect"/>
      </w:footnotePr>
      <w:pgSz w:w="11906" w:h="16838" w:code="9"/>
      <w:pgMar w:top="2274" w:right="2274" w:bottom="2274" w:left="2274" w:header="1701"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680F" w:rsidRDefault="00B0680F">
      <w:r>
        <w:separator/>
      </w:r>
    </w:p>
  </w:endnote>
  <w:endnote w:type="continuationSeparator" w:id="0">
    <w:p w:rsidR="00B0680F" w:rsidRDefault="00B06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C6E" w:rsidRDefault="00A60C6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C6E" w:rsidRDefault="00A60C6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C6E" w:rsidRPr="00150BFA" w:rsidRDefault="00A60C6E" w:rsidP="0020718E">
    <w:pPr>
      <w:jc w:val="center"/>
    </w:pPr>
    <w:r>
      <w:rPr>
        <w:noProof/>
        <w:lang w:val="en-US" w:eastAsia="ja-JP"/>
      </w:rPr>
      <w:drawing>
        <wp:inline distT="0" distB="0" distL="0" distR="0" wp14:anchorId="5E30BE8A" wp14:editId="0F0AA0B5">
          <wp:extent cx="771525" cy="619125"/>
          <wp:effectExtent l="0" t="0" r="9525" b="9525"/>
          <wp:docPr id="11" name="Picture 11" descr="R:\1_Graphics&amp;Web\Court_Graphic_Charter\2013\ECHR_Stationery\Documents_and_Letters\Cover_Pages_And_Docs\White_600_dpi\ECHR_CoverpageCS61_ECHR_Coverpage_Footer_COE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1_Graphics&amp;Web\Court_Graphic_Charter\2013\ECHR_Stationery\Documents_and_Letters\Cover_Pages_And_Docs\White_600_dpi\ECHR_CoverpageCS61_ECHR_Coverpage_Footer_COE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25" cy="619125"/>
                  </a:xfrm>
                  <a:prstGeom prst="rect">
                    <a:avLst/>
                  </a:prstGeom>
                  <a:noFill/>
                  <a:ln>
                    <a:noFill/>
                  </a:ln>
                </pic:spPr>
              </pic:pic>
            </a:graphicData>
          </a:graphic>
        </wp:inline>
      </w:drawing>
    </w:r>
  </w:p>
  <w:p w:rsidR="00A60C6E" w:rsidRDefault="00A60C6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680F" w:rsidRPr="003152BA" w:rsidRDefault="00B0680F" w:rsidP="00D420F3">
      <w:r w:rsidRPr="003152BA">
        <w:separator/>
      </w:r>
    </w:p>
  </w:footnote>
  <w:footnote w:type="continuationSeparator" w:id="0">
    <w:p w:rsidR="00B0680F" w:rsidRPr="003152BA" w:rsidRDefault="00B0680F" w:rsidP="00D420F3">
      <w:r w:rsidRPr="003152BA">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C6E" w:rsidRDefault="00A60C6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0F3" w:rsidRPr="00A60C6E" w:rsidRDefault="00D420F3" w:rsidP="00A60C6E">
    <w:pPr>
      <w:pStyle w:val="Header"/>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C6E" w:rsidRPr="00A45145" w:rsidRDefault="00A60C6E" w:rsidP="00A45145">
    <w:pPr>
      <w:jc w:val="center"/>
    </w:pPr>
    <w:r>
      <w:rPr>
        <w:noProof/>
        <w:lang w:val="en-US" w:eastAsia="ja-JP"/>
      </w:rPr>
      <w:drawing>
        <wp:inline distT="0" distB="0" distL="0" distR="0" wp14:anchorId="381EFD68" wp14:editId="17EC4571">
          <wp:extent cx="2962275" cy="1219200"/>
          <wp:effectExtent l="0" t="0" r="9525" b="0"/>
          <wp:docPr id="6" name="Picture 6" descr="R:\1_Graphics&amp;Web\Court_Graphic_Charter\2013\ECHR_Stationery\Documents_and_Letters\Cover_Pages_And_Docs\White_600_dpi\ECHR_CoverpageCS61_ECHR_Coverpage_Header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1_Graphics&amp;Web\Court_Graphic_Charter\2013\ECHR_Stationery\Documents_and_Letters\Cover_Pages_And_Docs\White_600_dpi\ECHR_CoverpageCS61_ECHR_Coverpage_Header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2275" cy="1219200"/>
                  </a:xfrm>
                  <a:prstGeom prst="rect">
                    <a:avLst/>
                  </a:prstGeom>
                  <a:noFill/>
                  <a:ln>
                    <a:noFill/>
                  </a:ln>
                </pic:spPr>
              </pic:pic>
            </a:graphicData>
          </a:graphic>
        </wp:inline>
      </w:drawing>
    </w:r>
  </w:p>
  <w:p w:rsidR="00B0680F" w:rsidRDefault="00B0680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C6E" w:rsidRPr="003152BA" w:rsidRDefault="00A60C6E" w:rsidP="00D420F3">
    <w:pPr>
      <w:pStyle w:val="ECHRHeader"/>
    </w:pPr>
    <w:r>
      <w:rPr>
        <w:rStyle w:val="PageNumber"/>
        <w:szCs w:val="18"/>
      </w:rPr>
      <w:fldChar w:fldCharType="begin"/>
    </w:r>
    <w:r>
      <w:rPr>
        <w:rStyle w:val="PageNumber"/>
        <w:szCs w:val="18"/>
      </w:rPr>
      <w:instrText xml:space="preserve"> PAGE </w:instrText>
    </w:r>
    <w:r>
      <w:rPr>
        <w:rStyle w:val="PageNumber"/>
        <w:szCs w:val="18"/>
      </w:rPr>
      <w:fldChar w:fldCharType="separate"/>
    </w:r>
    <w:r w:rsidR="009E1EBC">
      <w:rPr>
        <w:rStyle w:val="PageNumber"/>
        <w:noProof/>
        <w:szCs w:val="18"/>
      </w:rPr>
      <w:t>6</w:t>
    </w:r>
    <w:r>
      <w:rPr>
        <w:rStyle w:val="PageNumber"/>
        <w:szCs w:val="18"/>
      </w:rPr>
      <w:fldChar w:fldCharType="end"/>
    </w:r>
    <w:r w:rsidRPr="003152BA">
      <w:tab/>
    </w:r>
    <w:r>
      <w:t>STANA v. ROMANIA</w:t>
    </w:r>
    <w:r w:rsidRPr="003152BA">
      <w:t xml:space="preserve"> </w:t>
    </w:r>
    <w:r>
      <w:t>JUDGMENT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C6E" w:rsidRPr="003152BA" w:rsidRDefault="00A60C6E" w:rsidP="00D420F3">
    <w:pPr>
      <w:pStyle w:val="ECHRHeader"/>
    </w:pPr>
    <w:r w:rsidRPr="003152BA">
      <w:tab/>
    </w:r>
    <w:r>
      <w:t>STANA v. ROMANIA</w:t>
    </w:r>
    <w:r w:rsidRPr="003152BA">
      <w:t xml:space="preserve"> </w:t>
    </w:r>
    <w:r>
      <w:t>JUDGMENT</w:t>
    </w:r>
    <w:r w:rsidRPr="003152BA">
      <w:tab/>
    </w:r>
    <w:r>
      <w:rPr>
        <w:rStyle w:val="PageNumber"/>
        <w:szCs w:val="18"/>
      </w:rPr>
      <w:fldChar w:fldCharType="begin"/>
    </w:r>
    <w:r>
      <w:rPr>
        <w:rStyle w:val="PageNumber"/>
        <w:szCs w:val="18"/>
      </w:rPr>
      <w:instrText xml:space="preserve"> PAGE </w:instrText>
    </w:r>
    <w:r>
      <w:rPr>
        <w:rStyle w:val="PageNumber"/>
        <w:szCs w:val="18"/>
      </w:rPr>
      <w:fldChar w:fldCharType="separate"/>
    </w:r>
    <w:r w:rsidR="009E1EBC">
      <w:rPr>
        <w:rStyle w:val="PageNumber"/>
        <w:noProof/>
        <w:szCs w:val="18"/>
      </w:rPr>
      <w:t>7</w:t>
    </w:r>
    <w:r>
      <w:rPr>
        <w:rStyle w:val="PageNumber"/>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0180FE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B90ECFB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C5B8BEF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F1CF73A"/>
    <w:lvl w:ilvl="0">
      <w:start w:val="1"/>
      <w:numFmt w:val="decimal"/>
      <w:pStyle w:val="ListNumber2"/>
      <w:lvlText w:val="%1."/>
      <w:lvlJc w:val="left"/>
      <w:pPr>
        <w:tabs>
          <w:tab w:val="num" w:pos="643"/>
        </w:tabs>
        <w:ind w:left="643" w:hanging="360"/>
      </w:pPr>
    </w:lvl>
  </w:abstractNum>
  <w:abstractNum w:abstractNumId="4">
    <w:nsid w:val="FFFFFF80"/>
    <w:multiLevelType w:val="singleLevel"/>
    <w:tmpl w:val="2380266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0C2C346"/>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9482EC3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7666B2C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B2760110"/>
    <w:lvl w:ilvl="0">
      <w:start w:val="1"/>
      <w:numFmt w:val="decimal"/>
      <w:pStyle w:val="ListNumber"/>
      <w:lvlText w:val="%1."/>
      <w:lvlJc w:val="left"/>
      <w:pPr>
        <w:tabs>
          <w:tab w:val="num" w:pos="360"/>
        </w:tabs>
        <w:ind w:left="360" w:hanging="360"/>
      </w:pPr>
    </w:lvl>
  </w:abstractNum>
  <w:abstractNum w:abstractNumId="9">
    <w:nsid w:val="0066004F"/>
    <w:multiLevelType w:val="multilevel"/>
    <w:tmpl w:val="040C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63F153D"/>
    <w:multiLevelType w:val="multilevel"/>
    <w:tmpl w:val="040C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7FD1241"/>
    <w:multiLevelType w:val="hybridMultilevel"/>
    <w:tmpl w:val="F6D86CC2"/>
    <w:lvl w:ilvl="0" w:tplc="135E7E6C">
      <w:start w:val="1"/>
      <w:numFmt w:val="bullet"/>
      <w:pStyle w:val="ListBullet"/>
      <w:lvlText w:val=""/>
      <w:lvlJc w:val="left"/>
      <w:pPr>
        <w:tabs>
          <w:tab w:val="num" w:pos="851"/>
        </w:tabs>
        <w:ind w:left="568" w:firstLine="0"/>
      </w:pPr>
      <w:rPr>
        <w:rFonts w:ascii="Wingdings" w:hAnsi="Wingdings" w:hint="default"/>
        <w:color w:val="808080"/>
        <w:sz w:val="16"/>
      </w:rPr>
    </w:lvl>
    <w:lvl w:ilvl="1" w:tplc="810288C4" w:tentative="1">
      <w:start w:val="1"/>
      <w:numFmt w:val="bullet"/>
      <w:lvlText w:val="o"/>
      <w:lvlJc w:val="left"/>
      <w:pPr>
        <w:tabs>
          <w:tab w:val="num" w:pos="1724"/>
        </w:tabs>
        <w:ind w:left="1724" w:hanging="360"/>
      </w:pPr>
      <w:rPr>
        <w:rFonts w:ascii="Courier New" w:hAnsi="Courier New" w:cs="Courier New" w:hint="default"/>
      </w:rPr>
    </w:lvl>
    <w:lvl w:ilvl="2" w:tplc="4470F988" w:tentative="1">
      <w:start w:val="1"/>
      <w:numFmt w:val="bullet"/>
      <w:lvlText w:val=""/>
      <w:lvlJc w:val="left"/>
      <w:pPr>
        <w:tabs>
          <w:tab w:val="num" w:pos="2444"/>
        </w:tabs>
        <w:ind w:left="2444" w:hanging="360"/>
      </w:pPr>
      <w:rPr>
        <w:rFonts w:ascii="Wingdings" w:hAnsi="Wingdings" w:hint="default"/>
      </w:rPr>
    </w:lvl>
    <w:lvl w:ilvl="3" w:tplc="5FACB78A" w:tentative="1">
      <w:start w:val="1"/>
      <w:numFmt w:val="bullet"/>
      <w:lvlText w:val=""/>
      <w:lvlJc w:val="left"/>
      <w:pPr>
        <w:tabs>
          <w:tab w:val="num" w:pos="3164"/>
        </w:tabs>
        <w:ind w:left="3164" w:hanging="360"/>
      </w:pPr>
      <w:rPr>
        <w:rFonts w:ascii="Symbol" w:hAnsi="Symbol" w:hint="default"/>
      </w:rPr>
    </w:lvl>
    <w:lvl w:ilvl="4" w:tplc="B63E179C" w:tentative="1">
      <w:start w:val="1"/>
      <w:numFmt w:val="bullet"/>
      <w:lvlText w:val="o"/>
      <w:lvlJc w:val="left"/>
      <w:pPr>
        <w:tabs>
          <w:tab w:val="num" w:pos="3884"/>
        </w:tabs>
        <w:ind w:left="3884" w:hanging="360"/>
      </w:pPr>
      <w:rPr>
        <w:rFonts w:ascii="Courier New" w:hAnsi="Courier New" w:cs="Courier New" w:hint="default"/>
      </w:rPr>
    </w:lvl>
    <w:lvl w:ilvl="5" w:tplc="204A3DC2" w:tentative="1">
      <w:start w:val="1"/>
      <w:numFmt w:val="bullet"/>
      <w:lvlText w:val=""/>
      <w:lvlJc w:val="left"/>
      <w:pPr>
        <w:tabs>
          <w:tab w:val="num" w:pos="4604"/>
        </w:tabs>
        <w:ind w:left="4604" w:hanging="360"/>
      </w:pPr>
      <w:rPr>
        <w:rFonts w:ascii="Wingdings" w:hAnsi="Wingdings" w:hint="default"/>
      </w:rPr>
    </w:lvl>
    <w:lvl w:ilvl="6" w:tplc="C58C412E" w:tentative="1">
      <w:start w:val="1"/>
      <w:numFmt w:val="bullet"/>
      <w:lvlText w:val=""/>
      <w:lvlJc w:val="left"/>
      <w:pPr>
        <w:tabs>
          <w:tab w:val="num" w:pos="5324"/>
        </w:tabs>
        <w:ind w:left="5324" w:hanging="360"/>
      </w:pPr>
      <w:rPr>
        <w:rFonts w:ascii="Symbol" w:hAnsi="Symbol" w:hint="default"/>
      </w:rPr>
    </w:lvl>
    <w:lvl w:ilvl="7" w:tplc="D4D47A0A" w:tentative="1">
      <w:start w:val="1"/>
      <w:numFmt w:val="bullet"/>
      <w:lvlText w:val="o"/>
      <w:lvlJc w:val="left"/>
      <w:pPr>
        <w:tabs>
          <w:tab w:val="num" w:pos="6044"/>
        </w:tabs>
        <w:ind w:left="6044" w:hanging="360"/>
      </w:pPr>
      <w:rPr>
        <w:rFonts w:ascii="Courier New" w:hAnsi="Courier New" w:cs="Courier New" w:hint="default"/>
      </w:rPr>
    </w:lvl>
    <w:lvl w:ilvl="8" w:tplc="4AF04BF4" w:tentative="1">
      <w:start w:val="1"/>
      <w:numFmt w:val="bullet"/>
      <w:lvlText w:val=""/>
      <w:lvlJc w:val="left"/>
      <w:pPr>
        <w:tabs>
          <w:tab w:val="num" w:pos="6764"/>
        </w:tabs>
        <w:ind w:left="6764" w:hanging="360"/>
      </w:pPr>
      <w:rPr>
        <w:rFonts w:ascii="Wingdings" w:hAnsi="Wingdings" w:hint="default"/>
      </w:rPr>
    </w:lvl>
  </w:abstractNum>
  <w:abstractNum w:abstractNumId="12">
    <w:nsid w:val="76903243"/>
    <w:multiLevelType w:val="multilevel"/>
    <w:tmpl w:val="E884A926"/>
    <w:lvl w:ilvl="0">
      <w:start w:val="1"/>
      <w:numFmt w:val="decimal"/>
      <w:pStyle w:val="JuAppQuestion"/>
      <w:lvlText w:val="%1."/>
      <w:lvlJc w:val="left"/>
      <w:pPr>
        <w:tabs>
          <w:tab w:val="num" w:pos="720"/>
        </w:tabs>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7737461D"/>
    <w:multiLevelType w:val="multilevel"/>
    <w:tmpl w:val="040C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1"/>
  </w:num>
  <w:num w:numId="2">
    <w:abstractNumId w:val="10"/>
  </w:num>
  <w:num w:numId="3">
    <w:abstractNumId w:val="9"/>
  </w:num>
  <w:num w:numId="4">
    <w:abstractNumId w:val="13"/>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2"/>
  </w:num>
  <w:num w:numId="16">
    <w:abstractNumId w:val="12"/>
  </w:num>
  <w:num w:numId="17">
    <w:abstractNumId w:val="12"/>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removePersonalInformation/>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evenAndOddHeaders/>
  <w:drawingGridHorizontalSpacing w:val="110"/>
  <w:displayHorizontalDrawingGridEvery w:val="2"/>
  <w:displayVertic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MM" w:val="0"/>
    <w:docVar w:name="NBEMMDOC" w:val="0"/>
  </w:docVars>
  <w:rsids>
    <w:rsidRoot w:val="00B0680F"/>
    <w:rsid w:val="00064F3E"/>
    <w:rsid w:val="00072E3A"/>
    <w:rsid w:val="000800AF"/>
    <w:rsid w:val="000C6FDA"/>
    <w:rsid w:val="00125001"/>
    <w:rsid w:val="001250F2"/>
    <w:rsid w:val="001A266C"/>
    <w:rsid w:val="002842EC"/>
    <w:rsid w:val="002935E9"/>
    <w:rsid w:val="00294427"/>
    <w:rsid w:val="0030724F"/>
    <w:rsid w:val="00314368"/>
    <w:rsid w:val="00384FD1"/>
    <w:rsid w:val="003A5315"/>
    <w:rsid w:val="003C7D04"/>
    <w:rsid w:val="003F72F1"/>
    <w:rsid w:val="004633FD"/>
    <w:rsid w:val="004744D5"/>
    <w:rsid w:val="004A1984"/>
    <w:rsid w:val="005171E5"/>
    <w:rsid w:val="005A2CE1"/>
    <w:rsid w:val="005E3D32"/>
    <w:rsid w:val="00605A23"/>
    <w:rsid w:val="00630F58"/>
    <w:rsid w:val="00681887"/>
    <w:rsid w:val="0068598E"/>
    <w:rsid w:val="006962A1"/>
    <w:rsid w:val="006A07D4"/>
    <w:rsid w:val="006B1BA2"/>
    <w:rsid w:val="006C7171"/>
    <w:rsid w:val="00704D3E"/>
    <w:rsid w:val="0077175D"/>
    <w:rsid w:val="00772E5D"/>
    <w:rsid w:val="007B22B6"/>
    <w:rsid w:val="007B66F6"/>
    <w:rsid w:val="007C6DA7"/>
    <w:rsid w:val="00832A51"/>
    <w:rsid w:val="00866357"/>
    <w:rsid w:val="008C6D8C"/>
    <w:rsid w:val="00942774"/>
    <w:rsid w:val="00957DBB"/>
    <w:rsid w:val="009748EE"/>
    <w:rsid w:val="0097718E"/>
    <w:rsid w:val="009B3269"/>
    <w:rsid w:val="009E1EBC"/>
    <w:rsid w:val="00A062F4"/>
    <w:rsid w:val="00A60C6E"/>
    <w:rsid w:val="00A96A11"/>
    <w:rsid w:val="00AA4CFC"/>
    <w:rsid w:val="00AB5748"/>
    <w:rsid w:val="00AF3122"/>
    <w:rsid w:val="00B0680F"/>
    <w:rsid w:val="00BA4EAA"/>
    <w:rsid w:val="00BA7B26"/>
    <w:rsid w:val="00BE185F"/>
    <w:rsid w:val="00BF77E7"/>
    <w:rsid w:val="00C16B04"/>
    <w:rsid w:val="00C3573A"/>
    <w:rsid w:val="00C41753"/>
    <w:rsid w:val="00CA2981"/>
    <w:rsid w:val="00CB20C3"/>
    <w:rsid w:val="00CC2C75"/>
    <w:rsid w:val="00CC3DE3"/>
    <w:rsid w:val="00D1214A"/>
    <w:rsid w:val="00D420F3"/>
    <w:rsid w:val="00D5689A"/>
    <w:rsid w:val="00D74F84"/>
    <w:rsid w:val="00D968E8"/>
    <w:rsid w:val="00E054CE"/>
    <w:rsid w:val="00E87134"/>
    <w:rsid w:val="00EB74CC"/>
    <w:rsid w:val="00F11D8F"/>
    <w:rsid w:val="00F310BD"/>
    <w:rsid w:val="00F6050C"/>
    <w:rsid w:val="00F62D54"/>
    <w:rsid w:val="00F75654"/>
    <w:rsid w:val="00F86854"/>
    <w:rsid w:val="00FA4F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57" w:unhideWhenUsed="1"/>
    <w:lsdException w:name="footer" w:semiHidden="1" w:uiPriority="57"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2935E9"/>
    <w:pPr>
      <w:jc w:val="both"/>
    </w:pPr>
    <w:rPr>
      <w:rFonts w:eastAsiaTheme="minorEastAsia"/>
      <w:sz w:val="24"/>
      <w:lang w:val="en-GB"/>
    </w:rPr>
  </w:style>
  <w:style w:type="paragraph" w:styleId="Heading1">
    <w:name w:val="heading 1"/>
    <w:basedOn w:val="Normal"/>
    <w:next w:val="Normal"/>
    <w:link w:val="Heading1Char"/>
    <w:uiPriority w:val="99"/>
    <w:semiHidden/>
    <w:rsid w:val="002935E9"/>
    <w:pPr>
      <w:spacing w:before="480"/>
      <w:contextualSpacing/>
      <w:outlineLvl w:val="0"/>
    </w:pPr>
    <w:rPr>
      <w:rFonts w:asciiTheme="majorHAnsi" w:eastAsiaTheme="majorEastAsia" w:hAnsiTheme="majorHAnsi" w:cstheme="majorBidi"/>
      <w:b/>
      <w:bCs/>
      <w:color w:val="333333"/>
      <w:sz w:val="28"/>
      <w:szCs w:val="28"/>
    </w:rPr>
  </w:style>
  <w:style w:type="paragraph" w:styleId="Heading2">
    <w:name w:val="heading 2"/>
    <w:basedOn w:val="Normal"/>
    <w:next w:val="Normal"/>
    <w:link w:val="Heading2Char"/>
    <w:uiPriority w:val="99"/>
    <w:semiHidden/>
    <w:rsid w:val="002935E9"/>
    <w:pPr>
      <w:spacing w:before="200"/>
      <w:outlineLvl w:val="1"/>
    </w:pPr>
    <w:rPr>
      <w:rFonts w:asciiTheme="majorHAnsi" w:eastAsiaTheme="majorEastAsia" w:hAnsiTheme="majorHAnsi" w:cstheme="majorBidi"/>
      <w:b/>
      <w:bCs/>
      <w:color w:val="4D4D4D"/>
      <w:sz w:val="26"/>
      <w:szCs w:val="26"/>
    </w:rPr>
  </w:style>
  <w:style w:type="paragraph" w:styleId="Heading3">
    <w:name w:val="heading 3"/>
    <w:basedOn w:val="Normal"/>
    <w:next w:val="Normal"/>
    <w:link w:val="Heading3Char"/>
    <w:uiPriority w:val="99"/>
    <w:semiHidden/>
    <w:rsid w:val="002935E9"/>
    <w:pPr>
      <w:spacing w:before="200" w:line="271" w:lineRule="auto"/>
      <w:outlineLvl w:val="2"/>
    </w:pPr>
    <w:rPr>
      <w:rFonts w:asciiTheme="majorHAnsi" w:eastAsiaTheme="majorEastAsia" w:hAnsiTheme="majorHAnsi" w:cstheme="majorBidi"/>
      <w:b/>
      <w:bCs/>
      <w:color w:val="5F5F5F"/>
    </w:rPr>
  </w:style>
  <w:style w:type="paragraph" w:styleId="Heading4">
    <w:name w:val="heading 4"/>
    <w:basedOn w:val="Normal"/>
    <w:next w:val="Normal"/>
    <w:link w:val="Heading4Char"/>
    <w:uiPriority w:val="99"/>
    <w:semiHidden/>
    <w:rsid w:val="002935E9"/>
    <w:pPr>
      <w:spacing w:before="200"/>
      <w:outlineLvl w:val="3"/>
    </w:pPr>
    <w:rPr>
      <w:rFonts w:asciiTheme="majorHAnsi" w:eastAsiaTheme="majorEastAsia" w:hAnsiTheme="majorHAnsi" w:cstheme="majorBidi"/>
      <w:b/>
      <w:bCs/>
      <w:i/>
      <w:iCs/>
      <w:color w:val="777777"/>
    </w:rPr>
  </w:style>
  <w:style w:type="paragraph" w:styleId="Heading5">
    <w:name w:val="heading 5"/>
    <w:basedOn w:val="Normal"/>
    <w:next w:val="Normal"/>
    <w:link w:val="Heading5Char"/>
    <w:uiPriority w:val="99"/>
    <w:semiHidden/>
    <w:qFormat/>
    <w:rsid w:val="002935E9"/>
    <w:pPr>
      <w:spacing w:before="200"/>
      <w:outlineLvl w:val="4"/>
    </w:pPr>
    <w:rPr>
      <w:rFonts w:asciiTheme="majorHAnsi" w:eastAsiaTheme="majorEastAsia" w:hAnsiTheme="majorHAnsi" w:cstheme="majorBidi"/>
      <w:b/>
      <w:bCs/>
      <w:color w:val="808080"/>
      <w:sz w:val="22"/>
      <w:lang w:val="en-US"/>
    </w:rPr>
  </w:style>
  <w:style w:type="paragraph" w:styleId="Heading6">
    <w:name w:val="heading 6"/>
    <w:basedOn w:val="Normal"/>
    <w:next w:val="Normal"/>
    <w:link w:val="Heading6Char"/>
    <w:uiPriority w:val="99"/>
    <w:semiHidden/>
    <w:rsid w:val="002935E9"/>
    <w:pPr>
      <w:spacing w:line="271" w:lineRule="auto"/>
      <w:outlineLvl w:val="5"/>
    </w:pPr>
    <w:rPr>
      <w:rFonts w:asciiTheme="majorHAnsi" w:eastAsiaTheme="majorEastAsia" w:hAnsiTheme="majorHAnsi" w:cstheme="majorBidi"/>
      <w:b/>
      <w:bCs/>
      <w:i/>
      <w:iCs/>
      <w:color w:val="7F7F7F" w:themeColor="text1" w:themeTint="80"/>
      <w:lang w:bidi="en-US"/>
    </w:rPr>
  </w:style>
  <w:style w:type="paragraph" w:styleId="Heading7">
    <w:name w:val="heading 7"/>
    <w:basedOn w:val="Normal"/>
    <w:next w:val="Normal"/>
    <w:link w:val="Heading7Char"/>
    <w:uiPriority w:val="99"/>
    <w:semiHidden/>
    <w:qFormat/>
    <w:rsid w:val="002935E9"/>
    <w:pPr>
      <w:outlineLvl w:val="6"/>
    </w:pPr>
    <w:rPr>
      <w:rFonts w:asciiTheme="majorHAnsi" w:eastAsiaTheme="majorEastAsia" w:hAnsiTheme="majorHAnsi" w:cstheme="majorBidi"/>
      <w:i/>
      <w:iCs/>
      <w:sz w:val="22"/>
      <w:lang w:val="en-US" w:bidi="en-US"/>
    </w:rPr>
  </w:style>
  <w:style w:type="paragraph" w:styleId="Heading8">
    <w:name w:val="heading 8"/>
    <w:basedOn w:val="Normal"/>
    <w:next w:val="Normal"/>
    <w:link w:val="Heading8Char"/>
    <w:uiPriority w:val="99"/>
    <w:semiHidden/>
    <w:qFormat/>
    <w:rsid w:val="002935E9"/>
    <w:pPr>
      <w:outlineLvl w:val="7"/>
    </w:pPr>
    <w:rPr>
      <w:rFonts w:asciiTheme="majorHAnsi" w:eastAsiaTheme="majorEastAsia" w:hAnsiTheme="majorHAnsi" w:cstheme="majorBidi"/>
      <w:sz w:val="20"/>
      <w:szCs w:val="20"/>
      <w:lang w:val="en-US" w:bidi="en-US"/>
    </w:rPr>
  </w:style>
  <w:style w:type="paragraph" w:styleId="Heading9">
    <w:name w:val="heading 9"/>
    <w:basedOn w:val="Normal"/>
    <w:next w:val="Normal"/>
    <w:link w:val="Heading9Char"/>
    <w:uiPriority w:val="99"/>
    <w:semiHidden/>
    <w:qFormat/>
    <w:rsid w:val="002935E9"/>
    <w:pPr>
      <w:outlineLvl w:val="8"/>
    </w:pPr>
    <w:rPr>
      <w:rFonts w:asciiTheme="majorHAnsi" w:eastAsiaTheme="majorEastAsia" w:hAnsiTheme="majorHAnsi" w:cstheme="majorBidi"/>
      <w:i/>
      <w:iCs/>
      <w:spacing w:val="5"/>
      <w:sz w:val="20"/>
      <w:szCs w:val="20"/>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2935E9"/>
    <w:rPr>
      <w:rFonts w:ascii="Tahoma" w:hAnsi="Tahoma" w:cs="Tahoma"/>
      <w:sz w:val="16"/>
      <w:szCs w:val="16"/>
    </w:rPr>
  </w:style>
  <w:style w:type="character" w:customStyle="1" w:styleId="BalloonTextChar">
    <w:name w:val="Balloon Text Char"/>
    <w:basedOn w:val="DefaultParagraphFont"/>
    <w:link w:val="BalloonText"/>
    <w:uiPriority w:val="99"/>
    <w:semiHidden/>
    <w:rsid w:val="002935E9"/>
    <w:rPr>
      <w:rFonts w:ascii="Tahoma" w:eastAsiaTheme="minorEastAsia" w:hAnsi="Tahoma" w:cs="Tahoma"/>
      <w:sz w:val="16"/>
      <w:szCs w:val="16"/>
      <w:lang w:val="en-GB"/>
    </w:rPr>
  </w:style>
  <w:style w:type="character" w:styleId="BookTitle">
    <w:name w:val="Book Title"/>
    <w:uiPriority w:val="99"/>
    <w:semiHidden/>
    <w:qFormat/>
    <w:rsid w:val="002935E9"/>
    <w:rPr>
      <w:i/>
      <w:iCs/>
      <w:smallCaps/>
      <w:spacing w:val="5"/>
    </w:rPr>
  </w:style>
  <w:style w:type="paragraph" w:customStyle="1" w:styleId="ECHRHeader">
    <w:name w:val="ECHR_Header"/>
    <w:aliases w:val="Ju_Header"/>
    <w:basedOn w:val="Header"/>
    <w:uiPriority w:val="4"/>
    <w:qFormat/>
    <w:rsid w:val="002935E9"/>
    <w:pPr>
      <w:tabs>
        <w:tab w:val="clear" w:pos="4536"/>
        <w:tab w:val="clear" w:pos="9072"/>
        <w:tab w:val="center" w:pos="3686"/>
        <w:tab w:val="right" w:pos="7371"/>
      </w:tabs>
      <w:jc w:val="left"/>
    </w:pPr>
    <w:rPr>
      <w:sz w:val="18"/>
    </w:rPr>
  </w:style>
  <w:style w:type="paragraph" w:customStyle="1" w:styleId="ECHRFooter">
    <w:name w:val="ECHR_Footer"/>
    <w:aliases w:val="Footer_ECHR"/>
    <w:basedOn w:val="Footer"/>
    <w:uiPriority w:val="57"/>
    <w:semiHidden/>
    <w:rsid w:val="002935E9"/>
    <w:pPr>
      <w:jc w:val="left"/>
    </w:pPr>
    <w:rPr>
      <w:sz w:val="8"/>
    </w:rPr>
  </w:style>
  <w:style w:type="character" w:styleId="Strong">
    <w:name w:val="Strong"/>
    <w:uiPriority w:val="99"/>
    <w:semiHidden/>
    <w:qFormat/>
    <w:rsid w:val="002935E9"/>
    <w:rPr>
      <w:b/>
      <w:bCs/>
    </w:rPr>
  </w:style>
  <w:style w:type="paragraph" w:styleId="NoSpacing">
    <w:name w:val="No Spacing"/>
    <w:basedOn w:val="Normal"/>
    <w:link w:val="NoSpacingChar"/>
    <w:semiHidden/>
    <w:qFormat/>
    <w:rsid w:val="002935E9"/>
    <w:rPr>
      <w:sz w:val="22"/>
      <w:lang w:val="en-US"/>
    </w:rPr>
  </w:style>
  <w:style w:type="character" w:customStyle="1" w:styleId="NoSpacingChar">
    <w:name w:val="No Spacing Char"/>
    <w:basedOn w:val="DefaultParagraphFont"/>
    <w:link w:val="NoSpacing"/>
    <w:semiHidden/>
    <w:rsid w:val="002935E9"/>
    <w:rPr>
      <w:rFonts w:eastAsiaTheme="minorEastAsia"/>
    </w:rPr>
  </w:style>
  <w:style w:type="paragraph" w:customStyle="1" w:styleId="ECHRFooterLine">
    <w:name w:val="ECHR_Footer_Line"/>
    <w:aliases w:val="Footer_Line"/>
    <w:basedOn w:val="Normal"/>
    <w:next w:val="ECHRFooter"/>
    <w:uiPriority w:val="57"/>
    <w:semiHidden/>
    <w:rsid w:val="002935E9"/>
    <w:pPr>
      <w:pBdr>
        <w:top w:val="single" w:sz="6" w:space="1" w:color="5F5F5F"/>
      </w:pBdr>
      <w:tabs>
        <w:tab w:val="center" w:pos="4536"/>
        <w:tab w:val="right" w:pos="9696"/>
      </w:tabs>
      <w:ind w:left="-680" w:right="-680"/>
      <w:jc w:val="left"/>
    </w:pPr>
    <w:rPr>
      <w:color w:val="5F5F5F"/>
    </w:rPr>
  </w:style>
  <w:style w:type="paragraph" w:customStyle="1" w:styleId="DecHTitle">
    <w:name w:val="Dec_H_Title"/>
    <w:basedOn w:val="ECHRTitleCentre1"/>
    <w:uiPriority w:val="7"/>
    <w:semiHidden/>
    <w:qFormat/>
    <w:rsid w:val="002935E9"/>
  </w:style>
  <w:style w:type="paragraph" w:customStyle="1" w:styleId="DecList">
    <w:name w:val="Dec_List"/>
    <w:basedOn w:val="Normal"/>
    <w:uiPriority w:val="9"/>
    <w:semiHidden/>
    <w:qFormat/>
    <w:rsid w:val="002935E9"/>
    <w:pPr>
      <w:spacing w:before="240"/>
      <w:ind w:left="284"/>
    </w:pPr>
  </w:style>
  <w:style w:type="paragraph" w:customStyle="1" w:styleId="DummyStyle">
    <w:name w:val="Dummy_Style"/>
    <w:basedOn w:val="Normal"/>
    <w:semiHidden/>
    <w:qFormat/>
    <w:rsid w:val="002935E9"/>
    <w:rPr>
      <w:color w:val="00B050"/>
    </w:rPr>
  </w:style>
  <w:style w:type="paragraph" w:customStyle="1" w:styleId="ECHRTitleCentre3">
    <w:name w:val="ECHR_Title_Centre_3"/>
    <w:aliases w:val="Ju_H_Article"/>
    <w:basedOn w:val="Normal"/>
    <w:next w:val="ECHRParaQuote"/>
    <w:uiPriority w:val="27"/>
    <w:qFormat/>
    <w:rsid w:val="002935E9"/>
    <w:pPr>
      <w:keepNext/>
      <w:keepLines/>
      <w:spacing w:before="240" w:after="120"/>
      <w:jc w:val="center"/>
      <w:outlineLvl w:val="3"/>
    </w:pPr>
    <w:rPr>
      <w:rFonts w:asciiTheme="majorHAnsi" w:hAnsiTheme="majorHAnsi"/>
      <w:b/>
      <w:sz w:val="20"/>
      <w:lang w:bidi="en-US"/>
    </w:rPr>
  </w:style>
  <w:style w:type="paragraph" w:customStyle="1" w:styleId="ECHRTitleCentre1">
    <w:name w:val="ECHR_Title_Centre_1"/>
    <w:aliases w:val="Opi_H_Head"/>
    <w:basedOn w:val="Normal"/>
    <w:next w:val="OpiPara"/>
    <w:uiPriority w:val="39"/>
    <w:qFormat/>
    <w:rsid w:val="002935E9"/>
    <w:pPr>
      <w:keepNext/>
      <w:keepLines/>
      <w:spacing w:after="240"/>
      <w:jc w:val="center"/>
      <w:outlineLvl w:val="0"/>
    </w:pPr>
    <w:rPr>
      <w:rFonts w:asciiTheme="majorHAnsi" w:hAnsiTheme="majorHAnsi"/>
      <w:sz w:val="28"/>
    </w:rPr>
  </w:style>
  <w:style w:type="paragraph" w:customStyle="1" w:styleId="JuAppQuestion">
    <w:name w:val="Ju_App_Question"/>
    <w:basedOn w:val="Normal"/>
    <w:uiPriority w:val="5"/>
    <w:semiHidden/>
    <w:qFormat/>
    <w:rsid w:val="002935E9"/>
    <w:pPr>
      <w:numPr>
        <w:numId w:val="18"/>
      </w:numPr>
      <w:jc w:val="left"/>
    </w:pPr>
    <w:rPr>
      <w:b/>
    </w:rPr>
  </w:style>
  <w:style w:type="paragraph" w:customStyle="1" w:styleId="JuCourt">
    <w:name w:val="Ju_Court"/>
    <w:basedOn w:val="Normal"/>
    <w:next w:val="Normal"/>
    <w:uiPriority w:val="16"/>
    <w:qFormat/>
    <w:rsid w:val="002935E9"/>
    <w:pPr>
      <w:tabs>
        <w:tab w:val="left" w:pos="907"/>
        <w:tab w:val="left" w:pos="1701"/>
        <w:tab w:val="right" w:pos="7371"/>
      </w:tabs>
      <w:spacing w:before="240"/>
      <w:ind w:left="397" w:hanging="397"/>
      <w:jc w:val="left"/>
    </w:pPr>
    <w:rPr>
      <w:lang w:bidi="en-US"/>
    </w:rPr>
  </w:style>
  <w:style w:type="paragraph" w:customStyle="1" w:styleId="JuInitialled">
    <w:name w:val="Ju_Initialled"/>
    <w:basedOn w:val="Normal"/>
    <w:uiPriority w:val="31"/>
    <w:qFormat/>
    <w:rsid w:val="002935E9"/>
    <w:pPr>
      <w:tabs>
        <w:tab w:val="center" w:pos="6407"/>
      </w:tabs>
      <w:spacing w:before="720"/>
      <w:jc w:val="right"/>
    </w:pPr>
  </w:style>
  <w:style w:type="paragraph" w:customStyle="1" w:styleId="ECHRTitleCentre2">
    <w:name w:val="ECHR_Title_Centre_2"/>
    <w:aliases w:val="Dec_H_Case"/>
    <w:basedOn w:val="Normal"/>
    <w:next w:val="ECHRPara"/>
    <w:uiPriority w:val="8"/>
    <w:qFormat/>
    <w:rsid w:val="002935E9"/>
    <w:pPr>
      <w:spacing w:after="240"/>
      <w:jc w:val="center"/>
      <w:outlineLvl w:val="0"/>
    </w:pPr>
    <w:rPr>
      <w:rFonts w:asciiTheme="majorHAnsi" w:hAnsiTheme="majorHAnsi"/>
    </w:rPr>
  </w:style>
  <w:style w:type="paragraph" w:customStyle="1" w:styleId="JuListi">
    <w:name w:val="Ju_List_i"/>
    <w:basedOn w:val="Normal"/>
    <w:next w:val="JuLista"/>
    <w:uiPriority w:val="28"/>
    <w:qFormat/>
    <w:rsid w:val="002935E9"/>
    <w:pPr>
      <w:ind w:left="794"/>
    </w:pPr>
  </w:style>
  <w:style w:type="paragraph" w:styleId="Title">
    <w:name w:val="Title"/>
    <w:basedOn w:val="Normal"/>
    <w:next w:val="Normal"/>
    <w:link w:val="TitleChar"/>
    <w:uiPriority w:val="99"/>
    <w:semiHidden/>
    <w:qFormat/>
    <w:rsid w:val="002935E9"/>
    <w:pPr>
      <w:pBdr>
        <w:bottom w:val="single" w:sz="4" w:space="1" w:color="auto"/>
      </w:pBdr>
      <w:contextualSpacing/>
    </w:pPr>
    <w:rPr>
      <w:rFonts w:asciiTheme="majorHAnsi" w:eastAsiaTheme="majorEastAsia" w:hAnsiTheme="majorHAnsi" w:cstheme="majorBidi"/>
      <w:spacing w:val="5"/>
      <w:sz w:val="52"/>
      <w:szCs w:val="52"/>
      <w:lang w:val="en-US" w:bidi="en-US"/>
    </w:rPr>
  </w:style>
  <w:style w:type="character" w:customStyle="1" w:styleId="TitleChar">
    <w:name w:val="Title Char"/>
    <w:basedOn w:val="DefaultParagraphFont"/>
    <w:link w:val="Title"/>
    <w:uiPriority w:val="99"/>
    <w:semiHidden/>
    <w:rsid w:val="002935E9"/>
    <w:rPr>
      <w:rFonts w:asciiTheme="majorHAnsi" w:eastAsiaTheme="majorEastAsia" w:hAnsiTheme="majorHAnsi" w:cstheme="majorBidi"/>
      <w:spacing w:val="5"/>
      <w:sz w:val="52"/>
      <w:szCs w:val="52"/>
      <w:lang w:bidi="en-US"/>
    </w:rPr>
  </w:style>
  <w:style w:type="paragraph" w:customStyle="1" w:styleId="ECHRHeading3">
    <w:name w:val="ECHR_Heading_3"/>
    <w:aliases w:val="Ju_H_1."/>
    <w:basedOn w:val="Heading3"/>
    <w:next w:val="ECHRPara"/>
    <w:uiPriority w:val="21"/>
    <w:qFormat/>
    <w:rsid w:val="002935E9"/>
    <w:pPr>
      <w:keepNext/>
      <w:keepLines/>
      <w:tabs>
        <w:tab w:val="left" w:pos="731"/>
      </w:tabs>
      <w:spacing w:before="240" w:after="120" w:line="240" w:lineRule="auto"/>
      <w:ind w:left="732" w:hanging="301"/>
    </w:pPr>
    <w:rPr>
      <w:b w:val="0"/>
      <w:i/>
      <w:color w:val="auto"/>
    </w:rPr>
  </w:style>
  <w:style w:type="paragraph" w:customStyle="1" w:styleId="ECHRHeading4">
    <w:name w:val="ECHR_Heading_4"/>
    <w:aliases w:val="Ju_H_a"/>
    <w:basedOn w:val="Heading4"/>
    <w:next w:val="ECHRPara"/>
    <w:uiPriority w:val="22"/>
    <w:qFormat/>
    <w:rsid w:val="002935E9"/>
    <w:pPr>
      <w:keepNext/>
      <w:keepLines/>
      <w:tabs>
        <w:tab w:val="left" w:pos="975"/>
      </w:tabs>
      <w:spacing w:before="240" w:after="120"/>
      <w:ind w:left="975" w:hanging="340"/>
    </w:pPr>
    <w:rPr>
      <w:i w:val="0"/>
      <w:color w:val="auto"/>
      <w:sz w:val="20"/>
    </w:rPr>
  </w:style>
  <w:style w:type="paragraph" w:customStyle="1" w:styleId="ECHRHeading5">
    <w:name w:val="ECHR_Heading_5"/>
    <w:aliases w:val="Ju_H_i"/>
    <w:basedOn w:val="Heading5"/>
    <w:next w:val="ECHRPara"/>
    <w:uiPriority w:val="23"/>
    <w:qFormat/>
    <w:rsid w:val="002935E9"/>
    <w:pPr>
      <w:keepNext/>
      <w:keepLines/>
      <w:tabs>
        <w:tab w:val="left" w:pos="1191"/>
      </w:tabs>
      <w:spacing w:before="240" w:after="120"/>
      <w:ind w:left="1190" w:hanging="357"/>
    </w:pPr>
    <w:rPr>
      <w:b w:val="0"/>
      <w:i/>
      <w:color w:val="auto"/>
      <w:sz w:val="20"/>
      <w:lang w:val="en-GB"/>
    </w:rPr>
  </w:style>
  <w:style w:type="paragraph" w:customStyle="1" w:styleId="ECHRHeading6">
    <w:name w:val="ECHR_Heading_6"/>
    <w:aliases w:val="Ju_H_alpha"/>
    <w:basedOn w:val="Heading6"/>
    <w:next w:val="ECHRPara"/>
    <w:uiPriority w:val="24"/>
    <w:qFormat/>
    <w:rsid w:val="002935E9"/>
    <w:pPr>
      <w:keepNext/>
      <w:keepLines/>
      <w:tabs>
        <w:tab w:val="left" w:pos="1372"/>
      </w:tabs>
      <w:spacing w:before="240" w:after="120" w:line="240" w:lineRule="auto"/>
      <w:ind w:left="1373" w:hanging="335"/>
    </w:pPr>
    <w:rPr>
      <w:b w:val="0"/>
      <w:i w:val="0"/>
      <w:color w:val="auto"/>
      <w:sz w:val="20"/>
    </w:rPr>
  </w:style>
  <w:style w:type="paragraph" w:customStyle="1" w:styleId="ECHRHeading7">
    <w:name w:val="ECHR_Heading_7"/>
    <w:aliases w:val="Ju_H_–"/>
    <w:basedOn w:val="Heading7"/>
    <w:next w:val="ECHRPara"/>
    <w:uiPriority w:val="25"/>
    <w:qFormat/>
    <w:rsid w:val="002935E9"/>
    <w:pPr>
      <w:keepNext/>
      <w:keepLines/>
      <w:spacing w:before="240" w:after="120"/>
      <w:ind w:left="1236"/>
    </w:pPr>
    <w:rPr>
      <w:sz w:val="20"/>
      <w:lang w:val="en-GB"/>
    </w:rPr>
  </w:style>
  <w:style w:type="character" w:customStyle="1" w:styleId="JUNAMES">
    <w:name w:val="JU_NAMES"/>
    <w:uiPriority w:val="17"/>
    <w:qFormat/>
    <w:rsid w:val="002935E9"/>
    <w:rPr>
      <w:caps w:val="0"/>
      <w:smallCaps/>
    </w:rPr>
  </w:style>
  <w:style w:type="paragraph" w:customStyle="1" w:styleId="JuParaSub">
    <w:name w:val="Ju_Para_Sub"/>
    <w:basedOn w:val="ECHRPara"/>
    <w:uiPriority w:val="13"/>
    <w:qFormat/>
    <w:rsid w:val="002935E9"/>
    <w:pPr>
      <w:ind w:left="284"/>
    </w:pPr>
  </w:style>
  <w:style w:type="paragraph" w:customStyle="1" w:styleId="JuQuotSub">
    <w:name w:val="Ju_Quot_Sub"/>
    <w:basedOn w:val="ECHRParaQuote"/>
    <w:uiPriority w:val="15"/>
    <w:qFormat/>
    <w:rsid w:val="002935E9"/>
    <w:pPr>
      <w:ind w:left="567"/>
    </w:pPr>
  </w:style>
  <w:style w:type="paragraph" w:styleId="Header">
    <w:name w:val="header"/>
    <w:basedOn w:val="Normal"/>
    <w:link w:val="HeaderChar"/>
    <w:uiPriority w:val="57"/>
    <w:semiHidden/>
    <w:rsid w:val="002935E9"/>
    <w:pPr>
      <w:tabs>
        <w:tab w:val="center" w:pos="4536"/>
        <w:tab w:val="right" w:pos="9072"/>
      </w:tabs>
    </w:pPr>
    <w:rPr>
      <w:rFonts w:eastAsiaTheme="minorHAnsi"/>
    </w:rPr>
  </w:style>
  <w:style w:type="character" w:customStyle="1" w:styleId="HeaderChar">
    <w:name w:val="Header Char"/>
    <w:basedOn w:val="DefaultParagraphFont"/>
    <w:link w:val="Header"/>
    <w:uiPriority w:val="57"/>
    <w:semiHidden/>
    <w:rsid w:val="002935E9"/>
    <w:rPr>
      <w:sz w:val="24"/>
      <w:lang w:val="en-GB"/>
    </w:rPr>
  </w:style>
  <w:style w:type="character" w:customStyle="1" w:styleId="Heading1Char">
    <w:name w:val="Heading 1 Char"/>
    <w:basedOn w:val="DefaultParagraphFont"/>
    <w:link w:val="Heading1"/>
    <w:uiPriority w:val="99"/>
    <w:semiHidden/>
    <w:rsid w:val="002935E9"/>
    <w:rPr>
      <w:rFonts w:asciiTheme="majorHAnsi" w:eastAsiaTheme="majorEastAsia" w:hAnsiTheme="majorHAnsi" w:cstheme="majorBidi"/>
      <w:b/>
      <w:bCs/>
      <w:color w:val="333333"/>
      <w:sz w:val="28"/>
      <w:szCs w:val="28"/>
      <w:lang w:val="en-GB"/>
    </w:rPr>
  </w:style>
  <w:style w:type="paragraph" w:customStyle="1" w:styleId="ECHRHeading1">
    <w:name w:val="ECHR_Heading_1"/>
    <w:aliases w:val="Ju_H_I_Roman"/>
    <w:basedOn w:val="Heading1"/>
    <w:next w:val="ECHRPara"/>
    <w:uiPriority w:val="19"/>
    <w:qFormat/>
    <w:rsid w:val="002935E9"/>
    <w:pPr>
      <w:keepNext/>
      <w:keepLines/>
      <w:tabs>
        <w:tab w:val="left" w:pos="357"/>
      </w:tabs>
      <w:spacing w:before="360" w:after="240"/>
      <w:ind w:left="357" w:hanging="357"/>
      <w:contextualSpacing w:val="0"/>
    </w:pPr>
    <w:rPr>
      <w:b w:val="0"/>
      <w:color w:val="auto"/>
      <w:sz w:val="24"/>
    </w:rPr>
  </w:style>
  <w:style w:type="paragraph" w:customStyle="1" w:styleId="ECHRHeading2">
    <w:name w:val="ECHR_Heading_2"/>
    <w:aliases w:val="Ju_H_A"/>
    <w:basedOn w:val="Heading2"/>
    <w:next w:val="ECHRPara"/>
    <w:uiPriority w:val="20"/>
    <w:qFormat/>
    <w:rsid w:val="002935E9"/>
    <w:pPr>
      <w:keepNext/>
      <w:keepLines/>
      <w:tabs>
        <w:tab w:val="left" w:pos="584"/>
      </w:tabs>
      <w:spacing w:before="360" w:after="240"/>
      <w:ind w:left="584" w:hanging="352"/>
    </w:pPr>
    <w:rPr>
      <w:color w:val="auto"/>
      <w:sz w:val="24"/>
    </w:rPr>
  </w:style>
  <w:style w:type="character" w:customStyle="1" w:styleId="Heading2Char">
    <w:name w:val="Heading 2 Char"/>
    <w:basedOn w:val="DefaultParagraphFont"/>
    <w:link w:val="Heading2"/>
    <w:uiPriority w:val="99"/>
    <w:semiHidden/>
    <w:rsid w:val="002935E9"/>
    <w:rPr>
      <w:rFonts w:asciiTheme="majorHAnsi" w:eastAsiaTheme="majorEastAsia" w:hAnsiTheme="majorHAnsi" w:cstheme="majorBidi"/>
      <w:b/>
      <w:bCs/>
      <w:color w:val="4D4D4D"/>
      <w:sz w:val="26"/>
      <w:szCs w:val="26"/>
      <w:lang w:val="en-GB"/>
    </w:rPr>
  </w:style>
  <w:style w:type="paragraph" w:customStyle="1" w:styleId="JuTitle">
    <w:name w:val="Ju_Title"/>
    <w:basedOn w:val="Normal"/>
    <w:next w:val="ECHRPara"/>
    <w:uiPriority w:val="3"/>
    <w:semiHidden/>
    <w:qFormat/>
    <w:rsid w:val="002935E9"/>
    <w:pPr>
      <w:spacing w:before="720" w:after="240"/>
      <w:jc w:val="center"/>
      <w:outlineLvl w:val="0"/>
    </w:pPr>
    <w:rPr>
      <w:rFonts w:asciiTheme="majorHAnsi" w:hAnsiTheme="majorHAnsi"/>
      <w:b/>
      <w:caps/>
    </w:rPr>
  </w:style>
  <w:style w:type="paragraph" w:customStyle="1" w:styleId="JuCase">
    <w:name w:val="Ju_Case"/>
    <w:basedOn w:val="Normal"/>
    <w:next w:val="ECHRPara"/>
    <w:uiPriority w:val="10"/>
    <w:rsid w:val="002935E9"/>
    <w:pPr>
      <w:ind w:firstLine="284"/>
    </w:pPr>
    <w:rPr>
      <w:b/>
    </w:rPr>
  </w:style>
  <w:style w:type="character" w:customStyle="1" w:styleId="Heading3Char">
    <w:name w:val="Heading 3 Char"/>
    <w:basedOn w:val="DefaultParagraphFont"/>
    <w:link w:val="Heading3"/>
    <w:uiPriority w:val="99"/>
    <w:semiHidden/>
    <w:rsid w:val="002935E9"/>
    <w:rPr>
      <w:rFonts w:asciiTheme="majorHAnsi" w:eastAsiaTheme="majorEastAsia" w:hAnsiTheme="majorHAnsi" w:cstheme="majorBidi"/>
      <w:b/>
      <w:bCs/>
      <w:color w:val="5F5F5F"/>
      <w:sz w:val="24"/>
      <w:lang w:val="en-GB"/>
    </w:rPr>
  </w:style>
  <w:style w:type="character" w:customStyle="1" w:styleId="Heading4Char">
    <w:name w:val="Heading 4 Char"/>
    <w:basedOn w:val="DefaultParagraphFont"/>
    <w:link w:val="Heading4"/>
    <w:uiPriority w:val="99"/>
    <w:semiHidden/>
    <w:rsid w:val="002935E9"/>
    <w:rPr>
      <w:rFonts w:asciiTheme="majorHAnsi" w:eastAsiaTheme="majorEastAsia" w:hAnsiTheme="majorHAnsi" w:cstheme="majorBidi"/>
      <w:b/>
      <w:bCs/>
      <w:i/>
      <w:iCs/>
      <w:color w:val="777777"/>
      <w:sz w:val="24"/>
      <w:lang w:val="en-GB"/>
    </w:rPr>
  </w:style>
  <w:style w:type="character" w:customStyle="1" w:styleId="Heading5Char">
    <w:name w:val="Heading 5 Char"/>
    <w:basedOn w:val="DefaultParagraphFont"/>
    <w:link w:val="Heading5"/>
    <w:uiPriority w:val="99"/>
    <w:semiHidden/>
    <w:rsid w:val="002935E9"/>
    <w:rPr>
      <w:rFonts w:asciiTheme="majorHAnsi" w:eastAsiaTheme="majorEastAsia" w:hAnsiTheme="majorHAnsi" w:cstheme="majorBidi"/>
      <w:b/>
      <w:bCs/>
      <w:color w:val="808080"/>
    </w:rPr>
  </w:style>
  <w:style w:type="character" w:styleId="SubtleEmphasis">
    <w:name w:val="Subtle Emphasis"/>
    <w:uiPriority w:val="99"/>
    <w:semiHidden/>
    <w:qFormat/>
    <w:rsid w:val="002935E9"/>
    <w:rPr>
      <w:i/>
      <w:iCs/>
    </w:rPr>
  </w:style>
  <w:style w:type="table" w:customStyle="1" w:styleId="ECHRTable">
    <w:name w:val="ECHR_Table"/>
    <w:basedOn w:val="TableNormal"/>
    <w:rsid w:val="00860B03"/>
    <w:rPr>
      <w:rFonts w:eastAsia="Times New Roman" w:cs="Times New Roman"/>
      <w:sz w:val="20"/>
      <w:szCs w:val="20"/>
      <w:lang w:val="en-GB"/>
    </w:rPr>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tblStylePr w:type="firstCol">
      <w:rPr>
        <w:b/>
      </w:rPr>
    </w:tblStylePr>
    <w:tblStylePr w:type="band2Vert">
      <w:tblPr/>
      <w:tcPr>
        <w:tcBorders>
          <w:top w:val="nil"/>
          <w:left w:val="nil"/>
          <w:bottom w:val="nil"/>
          <w:right w:val="nil"/>
          <w:insideH w:val="nil"/>
          <w:insideV w:val="nil"/>
          <w:tl2br w:val="nil"/>
          <w:tr2bl w:val="nil"/>
        </w:tcBorders>
        <w:shd w:val="clear" w:color="auto" w:fill="DFDFDF" w:themeFill="background2" w:themeFillShade="E6"/>
      </w:tcPr>
    </w:tblStylePr>
    <w:tblStylePr w:type="band2Horz">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style>
  <w:style w:type="table" w:customStyle="1" w:styleId="ECHRTableBoxHeader">
    <w:name w:val="ECHR_Table_Box_Header"/>
    <w:basedOn w:val="TableNormal"/>
    <w:rsid w:val="004C086C"/>
    <w:rPr>
      <w:rFonts w:ascii="Verdana" w:eastAsia="Times New Roman" w:hAnsi="Verdana" w:cs="Times New Roman"/>
      <w:sz w:val="20"/>
      <w:szCs w:val="20"/>
      <w:lang w:val="en-GB"/>
    </w:rPr>
    <w:tblPr>
      <w:tblCellMar>
        <w:top w:w="57" w:type="dxa"/>
        <w:left w:w="57" w:type="dxa"/>
        <w:bottom w:w="57" w:type="dxa"/>
        <w:right w:w="57" w:type="dxa"/>
      </w:tblCellMar>
    </w:tblPr>
    <w:tcPr>
      <w:shd w:val="clear" w:color="auto" w:fill="F8F8F8" w:themeFill="background2"/>
    </w:tcPr>
    <w:tblStylePr w:type="firstCol">
      <w:rPr>
        <w:b/>
        <w:color w:val="5F5F5F" w:themeColor="accent3"/>
      </w:rPr>
    </w:tblStylePr>
  </w:style>
  <w:style w:type="paragraph" w:customStyle="1" w:styleId="ECHRTitle1">
    <w:name w:val="ECHR_Title_1"/>
    <w:aliases w:val="Ju_H_Head"/>
    <w:basedOn w:val="Normal"/>
    <w:next w:val="ECHRPara"/>
    <w:uiPriority w:val="18"/>
    <w:qFormat/>
    <w:rsid w:val="002935E9"/>
    <w:pPr>
      <w:keepNext/>
      <w:keepLines/>
      <w:spacing w:before="720" w:after="240"/>
      <w:outlineLvl w:val="0"/>
    </w:pPr>
    <w:rPr>
      <w:rFonts w:asciiTheme="majorHAnsi" w:hAnsiTheme="majorHAnsi"/>
      <w:sz w:val="28"/>
    </w:rPr>
  </w:style>
  <w:style w:type="character" w:styleId="Emphasis">
    <w:name w:val="Emphasis"/>
    <w:uiPriority w:val="99"/>
    <w:semiHidden/>
    <w:qFormat/>
    <w:rsid w:val="002935E9"/>
    <w:rPr>
      <w:b/>
      <w:bCs/>
      <w:i/>
      <w:iCs/>
      <w:spacing w:val="10"/>
      <w:bdr w:val="none" w:sz="0" w:space="0" w:color="auto"/>
      <w:shd w:val="clear" w:color="auto" w:fill="auto"/>
    </w:rPr>
  </w:style>
  <w:style w:type="paragraph" w:styleId="Footer">
    <w:name w:val="footer"/>
    <w:basedOn w:val="Normal"/>
    <w:link w:val="FooterChar"/>
    <w:uiPriority w:val="57"/>
    <w:semiHidden/>
    <w:rsid w:val="002935E9"/>
    <w:pPr>
      <w:tabs>
        <w:tab w:val="center" w:pos="4536"/>
        <w:tab w:val="right" w:pos="9696"/>
      </w:tabs>
      <w:ind w:left="-680" w:right="-680"/>
    </w:pPr>
    <w:rPr>
      <w:rFonts w:eastAsiaTheme="minorHAnsi"/>
    </w:rPr>
  </w:style>
  <w:style w:type="character" w:customStyle="1" w:styleId="FooterChar">
    <w:name w:val="Footer Char"/>
    <w:basedOn w:val="DefaultParagraphFont"/>
    <w:link w:val="Footer"/>
    <w:uiPriority w:val="57"/>
    <w:semiHidden/>
    <w:rsid w:val="002935E9"/>
    <w:rPr>
      <w:sz w:val="24"/>
      <w:lang w:val="en-GB"/>
    </w:rPr>
  </w:style>
  <w:style w:type="character" w:styleId="FootnoteReference">
    <w:name w:val="footnote reference"/>
    <w:basedOn w:val="DefaultParagraphFont"/>
    <w:uiPriority w:val="99"/>
    <w:semiHidden/>
    <w:rsid w:val="002935E9"/>
    <w:rPr>
      <w:vertAlign w:val="superscript"/>
    </w:rPr>
  </w:style>
  <w:style w:type="paragraph" w:styleId="FootnoteText">
    <w:name w:val="footnote text"/>
    <w:basedOn w:val="Normal"/>
    <w:link w:val="FootnoteTextChar"/>
    <w:uiPriority w:val="99"/>
    <w:semiHidden/>
    <w:rsid w:val="002935E9"/>
    <w:rPr>
      <w:sz w:val="20"/>
      <w:szCs w:val="20"/>
    </w:rPr>
  </w:style>
  <w:style w:type="character" w:customStyle="1" w:styleId="FootnoteTextChar">
    <w:name w:val="Footnote Text Char"/>
    <w:basedOn w:val="DefaultParagraphFont"/>
    <w:link w:val="FootnoteText"/>
    <w:uiPriority w:val="99"/>
    <w:semiHidden/>
    <w:rsid w:val="002935E9"/>
    <w:rPr>
      <w:rFonts w:eastAsiaTheme="minorEastAsia"/>
      <w:sz w:val="20"/>
      <w:szCs w:val="20"/>
      <w:lang w:val="en-GB"/>
    </w:rPr>
  </w:style>
  <w:style w:type="character" w:customStyle="1" w:styleId="Heading6Char">
    <w:name w:val="Heading 6 Char"/>
    <w:basedOn w:val="DefaultParagraphFont"/>
    <w:link w:val="Heading6"/>
    <w:uiPriority w:val="99"/>
    <w:semiHidden/>
    <w:rsid w:val="002935E9"/>
    <w:rPr>
      <w:rFonts w:asciiTheme="majorHAnsi" w:eastAsiaTheme="majorEastAsia" w:hAnsiTheme="majorHAnsi" w:cstheme="majorBidi"/>
      <w:b/>
      <w:bCs/>
      <w:i/>
      <w:iCs/>
      <w:color w:val="7F7F7F" w:themeColor="text1" w:themeTint="80"/>
      <w:sz w:val="24"/>
      <w:lang w:val="en-GB" w:bidi="en-US"/>
    </w:rPr>
  </w:style>
  <w:style w:type="character" w:customStyle="1" w:styleId="Heading7Char">
    <w:name w:val="Heading 7 Char"/>
    <w:basedOn w:val="DefaultParagraphFont"/>
    <w:link w:val="Heading7"/>
    <w:uiPriority w:val="99"/>
    <w:semiHidden/>
    <w:rsid w:val="002935E9"/>
    <w:rPr>
      <w:rFonts w:asciiTheme="majorHAnsi" w:eastAsiaTheme="majorEastAsia" w:hAnsiTheme="majorHAnsi" w:cstheme="majorBidi"/>
      <w:i/>
      <w:iCs/>
      <w:lang w:bidi="en-US"/>
    </w:rPr>
  </w:style>
  <w:style w:type="character" w:customStyle="1" w:styleId="Heading8Char">
    <w:name w:val="Heading 8 Char"/>
    <w:basedOn w:val="DefaultParagraphFont"/>
    <w:link w:val="Heading8"/>
    <w:uiPriority w:val="99"/>
    <w:semiHidden/>
    <w:rsid w:val="002935E9"/>
    <w:rPr>
      <w:rFonts w:asciiTheme="majorHAnsi" w:eastAsiaTheme="majorEastAsia" w:hAnsiTheme="majorHAnsi" w:cstheme="majorBidi"/>
      <w:sz w:val="20"/>
      <w:szCs w:val="20"/>
      <w:lang w:bidi="en-US"/>
    </w:rPr>
  </w:style>
  <w:style w:type="character" w:customStyle="1" w:styleId="Heading9Char">
    <w:name w:val="Heading 9 Char"/>
    <w:basedOn w:val="DefaultParagraphFont"/>
    <w:link w:val="Heading9"/>
    <w:uiPriority w:val="99"/>
    <w:semiHidden/>
    <w:rsid w:val="002935E9"/>
    <w:rPr>
      <w:rFonts w:asciiTheme="majorHAnsi" w:eastAsiaTheme="majorEastAsia" w:hAnsiTheme="majorHAnsi" w:cstheme="majorBidi"/>
      <w:i/>
      <w:iCs/>
      <w:spacing w:val="5"/>
      <w:sz w:val="20"/>
      <w:szCs w:val="20"/>
      <w:lang w:bidi="en-US"/>
    </w:rPr>
  </w:style>
  <w:style w:type="character" w:styleId="Hyperlink">
    <w:name w:val="Hyperlink"/>
    <w:basedOn w:val="DefaultParagraphFont"/>
    <w:uiPriority w:val="99"/>
    <w:semiHidden/>
    <w:rsid w:val="002935E9"/>
    <w:rPr>
      <w:color w:val="0072BC" w:themeColor="hyperlink"/>
      <w:u w:val="single"/>
    </w:rPr>
  </w:style>
  <w:style w:type="character" w:styleId="IntenseEmphasis">
    <w:name w:val="Intense Emphasis"/>
    <w:uiPriority w:val="99"/>
    <w:semiHidden/>
    <w:qFormat/>
    <w:rsid w:val="002935E9"/>
    <w:rPr>
      <w:b/>
      <w:bCs/>
    </w:rPr>
  </w:style>
  <w:style w:type="paragraph" w:styleId="IntenseQuote">
    <w:name w:val="Intense Quote"/>
    <w:basedOn w:val="Normal"/>
    <w:next w:val="Normal"/>
    <w:link w:val="IntenseQuoteChar"/>
    <w:uiPriority w:val="99"/>
    <w:semiHidden/>
    <w:qFormat/>
    <w:rsid w:val="002935E9"/>
    <w:pPr>
      <w:pBdr>
        <w:bottom w:val="single" w:sz="4" w:space="1" w:color="auto"/>
      </w:pBdr>
      <w:spacing w:before="200" w:after="280"/>
      <w:ind w:left="1008" w:right="1152"/>
    </w:pPr>
    <w:rPr>
      <w:b/>
      <w:bCs/>
      <w:i/>
      <w:iCs/>
      <w:sz w:val="22"/>
      <w:lang w:val="en-US" w:bidi="en-US"/>
    </w:rPr>
  </w:style>
  <w:style w:type="character" w:customStyle="1" w:styleId="IntenseQuoteChar">
    <w:name w:val="Intense Quote Char"/>
    <w:basedOn w:val="DefaultParagraphFont"/>
    <w:link w:val="IntenseQuote"/>
    <w:uiPriority w:val="99"/>
    <w:semiHidden/>
    <w:rsid w:val="002935E9"/>
    <w:rPr>
      <w:rFonts w:eastAsiaTheme="minorEastAsia"/>
      <w:b/>
      <w:bCs/>
      <w:i/>
      <w:iCs/>
      <w:lang w:bidi="en-US"/>
    </w:rPr>
  </w:style>
  <w:style w:type="character" w:styleId="IntenseReference">
    <w:name w:val="Intense Reference"/>
    <w:uiPriority w:val="99"/>
    <w:semiHidden/>
    <w:qFormat/>
    <w:rsid w:val="002935E9"/>
    <w:rPr>
      <w:smallCaps/>
      <w:spacing w:val="5"/>
      <w:u w:val="single"/>
    </w:rPr>
  </w:style>
  <w:style w:type="paragraph" w:styleId="ListParagraph">
    <w:name w:val="List Paragraph"/>
    <w:basedOn w:val="Normal"/>
    <w:uiPriority w:val="99"/>
    <w:semiHidden/>
    <w:qFormat/>
    <w:rsid w:val="002935E9"/>
    <w:pPr>
      <w:ind w:left="720"/>
      <w:contextualSpacing/>
    </w:pPr>
  </w:style>
  <w:style w:type="table" w:customStyle="1" w:styleId="LtrTableAddress">
    <w:name w:val="Ltr_Table_Address"/>
    <w:basedOn w:val="TableNormal"/>
    <w:uiPriority w:val="99"/>
    <w:rsid w:val="001E6F32"/>
    <w:tblPr>
      <w:tblInd w:w="5103" w:type="dxa"/>
    </w:tblPr>
  </w:style>
  <w:style w:type="paragraph" w:styleId="Quote">
    <w:name w:val="Quote"/>
    <w:basedOn w:val="Normal"/>
    <w:next w:val="Normal"/>
    <w:link w:val="QuoteChar"/>
    <w:uiPriority w:val="99"/>
    <w:semiHidden/>
    <w:qFormat/>
    <w:rsid w:val="002935E9"/>
    <w:pPr>
      <w:spacing w:before="200"/>
      <w:ind w:left="360" w:right="360"/>
    </w:pPr>
    <w:rPr>
      <w:i/>
      <w:iCs/>
      <w:sz w:val="22"/>
      <w:lang w:val="en-US" w:bidi="en-US"/>
    </w:rPr>
  </w:style>
  <w:style w:type="character" w:customStyle="1" w:styleId="QuoteChar">
    <w:name w:val="Quote Char"/>
    <w:basedOn w:val="DefaultParagraphFont"/>
    <w:link w:val="Quote"/>
    <w:uiPriority w:val="99"/>
    <w:semiHidden/>
    <w:rsid w:val="002935E9"/>
    <w:rPr>
      <w:rFonts w:eastAsiaTheme="minorEastAsia"/>
      <w:i/>
      <w:iCs/>
      <w:lang w:bidi="en-US"/>
    </w:rPr>
  </w:style>
  <w:style w:type="character" w:styleId="SubtleReference">
    <w:name w:val="Subtle Reference"/>
    <w:uiPriority w:val="99"/>
    <w:semiHidden/>
    <w:qFormat/>
    <w:rsid w:val="002935E9"/>
    <w:rPr>
      <w:smallCaps/>
    </w:rPr>
  </w:style>
  <w:style w:type="table" w:styleId="TableGrid">
    <w:name w:val="Table Grid"/>
    <w:basedOn w:val="TableNormal"/>
    <w:uiPriority w:val="59"/>
    <w:semiHidden/>
    <w:rsid w:val="002935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99"/>
    <w:semiHidden/>
    <w:rsid w:val="002935E9"/>
    <w:pPr>
      <w:keepNext/>
      <w:tabs>
        <w:tab w:val="right" w:leader="dot" w:pos="7371"/>
      </w:tabs>
      <w:spacing w:before="160" w:after="60" w:line="240" w:lineRule="exact"/>
      <w:ind w:left="340" w:right="567" w:hanging="340"/>
    </w:pPr>
    <w:rPr>
      <w:b/>
      <w:sz w:val="22"/>
    </w:rPr>
  </w:style>
  <w:style w:type="paragraph" w:styleId="TOC2">
    <w:name w:val="toc 2"/>
    <w:basedOn w:val="Normal"/>
    <w:next w:val="Normal"/>
    <w:autoRedefine/>
    <w:uiPriority w:val="99"/>
    <w:semiHidden/>
    <w:rsid w:val="002935E9"/>
    <w:pPr>
      <w:keepNext/>
      <w:tabs>
        <w:tab w:val="right" w:leader="dot" w:pos="7371"/>
      </w:tabs>
      <w:spacing w:after="60" w:line="240" w:lineRule="exact"/>
      <w:ind w:left="680" w:right="567" w:hanging="340"/>
    </w:pPr>
    <w:rPr>
      <w:sz w:val="22"/>
    </w:rPr>
  </w:style>
  <w:style w:type="paragraph" w:styleId="TOC3">
    <w:name w:val="toc 3"/>
    <w:basedOn w:val="Normal"/>
    <w:next w:val="Normal"/>
    <w:autoRedefine/>
    <w:uiPriority w:val="99"/>
    <w:semiHidden/>
    <w:rsid w:val="002935E9"/>
    <w:pPr>
      <w:keepNext/>
      <w:tabs>
        <w:tab w:val="right" w:leader="dot" w:pos="7371"/>
      </w:tabs>
      <w:spacing w:after="60" w:line="240" w:lineRule="exact"/>
      <w:ind w:left="1020" w:right="567" w:hanging="340"/>
    </w:pPr>
    <w:rPr>
      <w:sz w:val="20"/>
    </w:rPr>
  </w:style>
  <w:style w:type="paragraph" w:styleId="TOC4">
    <w:name w:val="toc 4"/>
    <w:basedOn w:val="Normal"/>
    <w:next w:val="Normal"/>
    <w:autoRedefine/>
    <w:uiPriority w:val="99"/>
    <w:semiHidden/>
    <w:rsid w:val="002935E9"/>
    <w:pPr>
      <w:tabs>
        <w:tab w:val="right" w:leader="dot" w:pos="7371"/>
      </w:tabs>
      <w:spacing w:after="60" w:line="240" w:lineRule="exact"/>
      <w:ind w:left="1361" w:right="567" w:hanging="340"/>
    </w:pPr>
    <w:rPr>
      <w:sz w:val="20"/>
    </w:rPr>
  </w:style>
  <w:style w:type="paragraph" w:styleId="TOC5">
    <w:name w:val="toc 5"/>
    <w:basedOn w:val="Normal"/>
    <w:next w:val="Normal"/>
    <w:autoRedefine/>
    <w:uiPriority w:val="99"/>
    <w:semiHidden/>
    <w:rsid w:val="002935E9"/>
    <w:pPr>
      <w:tabs>
        <w:tab w:val="right" w:leader="dot" w:pos="7371"/>
      </w:tabs>
      <w:spacing w:after="60" w:line="240" w:lineRule="exact"/>
      <w:ind w:left="1701" w:right="567" w:hanging="340"/>
    </w:pPr>
    <w:rPr>
      <w:sz w:val="20"/>
    </w:rPr>
  </w:style>
  <w:style w:type="paragraph" w:styleId="TOCHeading">
    <w:name w:val="TOC Heading"/>
    <w:basedOn w:val="Normal"/>
    <w:next w:val="Normal"/>
    <w:uiPriority w:val="99"/>
    <w:semiHidden/>
    <w:qFormat/>
    <w:rsid w:val="002935E9"/>
    <w:pPr>
      <w:keepNext/>
      <w:keepLines/>
      <w:spacing w:before="240"/>
      <w:contextualSpacing/>
      <w:jc w:val="center"/>
    </w:pPr>
    <w:rPr>
      <w:rFonts w:asciiTheme="majorHAnsi" w:eastAsiaTheme="minorHAnsi" w:hAnsiTheme="majorHAnsi"/>
      <w:b/>
      <w:color w:val="474747" w:themeColor="accent3" w:themeShade="BF"/>
      <w:sz w:val="28"/>
    </w:rPr>
  </w:style>
  <w:style w:type="table" w:customStyle="1" w:styleId="UGTable">
    <w:name w:val="UG_Table"/>
    <w:basedOn w:val="TableNormal"/>
    <w:uiPriority w:val="99"/>
    <w:rsid w:val="00801300"/>
    <w:rPr>
      <w:rFonts w:eastAsiaTheme="minorEastAsia"/>
      <w:sz w:val="20"/>
      <w:lang w:val="en-GB" w:eastAsia="en-GB"/>
    </w:rPr>
    <w:tblPr>
      <w:tblInd w:w="-1191" w:type="dxa"/>
      <w:tblCellMar>
        <w:top w:w="57" w:type="dxa"/>
        <w:left w:w="0" w:type="dxa"/>
        <w:right w:w="0" w:type="dxa"/>
      </w:tblCellMar>
    </w:tblPr>
    <w:tblStylePr w:type="swCell">
      <w:tblPr/>
      <w:tcPr>
        <w:tcBorders>
          <w:top w:val="nil"/>
          <w:left w:val="nil"/>
          <w:bottom w:val="nil"/>
          <w:right w:val="nil"/>
          <w:insideH w:val="nil"/>
          <w:insideV w:val="nil"/>
          <w:tl2br w:val="nil"/>
          <w:tr2bl w:val="nil"/>
        </w:tcBorders>
        <w:shd w:val="clear" w:color="auto" w:fill="EAEAEA"/>
      </w:tcPr>
    </w:tblStylePr>
  </w:style>
  <w:style w:type="table" w:customStyle="1" w:styleId="UGTableWhiteBox">
    <w:name w:val="UG_Table_White_Box"/>
    <w:basedOn w:val="TableNormal"/>
    <w:uiPriority w:val="99"/>
    <w:rsid w:val="00801300"/>
    <w:rPr>
      <w:rFonts w:eastAsiaTheme="minorEastAsia"/>
      <w:lang w:val="en-GB" w:eastAsia="en-GB"/>
    </w:rPr>
    <w:tblPr>
      <w:tblBorders>
        <w:top w:val="single" w:sz="4" w:space="0" w:color="B9B9B9" w:themeColor="background2" w:themeShade="BF"/>
        <w:left w:val="single" w:sz="4" w:space="0" w:color="B9B9B9" w:themeColor="background2" w:themeShade="BF"/>
        <w:bottom w:val="single" w:sz="4" w:space="0" w:color="B9B9B9" w:themeColor="background2" w:themeShade="BF"/>
        <w:right w:val="single" w:sz="4" w:space="0" w:color="B9B9B9" w:themeColor="background2" w:themeShade="BF"/>
      </w:tblBorders>
      <w:tblCellMar>
        <w:top w:w="113" w:type="dxa"/>
        <w:left w:w="113" w:type="dxa"/>
        <w:bottom w:w="113" w:type="dxa"/>
        <w:right w:w="113" w:type="dxa"/>
      </w:tblCellMar>
    </w:tblPr>
    <w:tcPr>
      <w:shd w:val="clear" w:color="auto" w:fill="FFFFFF"/>
    </w:tcPr>
  </w:style>
  <w:style w:type="table" w:customStyle="1" w:styleId="PCFTableStyle">
    <w:name w:val="PCF_Table_Style"/>
    <w:basedOn w:val="TableNormal"/>
    <w:uiPriority w:val="99"/>
    <w:rsid w:val="00810B38"/>
    <w:rPr>
      <w:color w:val="000000" w:themeColor="text1"/>
      <w:sz w:val="18"/>
    </w:rPr>
    <w:tblPr>
      <w:tblBorders>
        <w:top w:val="single" w:sz="8" w:space="0" w:color="9F9F9F" w:themeColor="accent3" w:themeTint="99"/>
        <w:left w:val="single" w:sz="8" w:space="0" w:color="9F9F9F" w:themeColor="accent3" w:themeTint="99"/>
        <w:bottom w:val="single" w:sz="8" w:space="0" w:color="9F9F9F" w:themeColor="accent3" w:themeTint="99"/>
        <w:right w:val="single" w:sz="8" w:space="0" w:color="9F9F9F" w:themeColor="accent3" w:themeTint="99"/>
        <w:insideH w:val="single" w:sz="8" w:space="0" w:color="9F9F9F" w:themeColor="accent3" w:themeTint="99"/>
        <w:insideV w:val="single" w:sz="8" w:space="0" w:color="9F9F9F" w:themeColor="accent3" w:themeTint="99"/>
      </w:tblBorders>
    </w:tblPr>
    <w:tblStylePr w:type="firstRow">
      <w:pPr>
        <w:wordWrap/>
        <w:spacing w:beforeLines="0" w:before="120" w:beforeAutospacing="0" w:afterLines="0" w:after="120" w:afterAutospacing="0" w:line="240" w:lineRule="auto"/>
        <w:contextualSpacing/>
        <w:jc w:val="center"/>
      </w:pPr>
      <w:rPr>
        <w:b/>
        <w:i w:val="0"/>
        <w:color w:val="FFFFFF"/>
        <w:sz w:val="20"/>
      </w:rPr>
      <w:tblPr/>
      <w:tcPr>
        <w:tcBorders>
          <w:top w:val="nil"/>
          <w:left w:val="nil"/>
          <w:bottom w:val="nil"/>
          <w:right w:val="nil"/>
          <w:insideH w:val="nil"/>
          <w:insideV w:val="nil"/>
          <w:tl2br w:val="nil"/>
          <w:tr2bl w:val="nil"/>
        </w:tcBorders>
        <w:shd w:val="clear" w:color="auto" w:fill="0072BC" w:themeFill="accent1"/>
        <w:vAlign w:val="center"/>
      </w:tcPr>
    </w:tblStylePr>
    <w:tblStylePr w:type="firstCol">
      <w:pPr>
        <w:jc w:val="left"/>
      </w:pPr>
      <w:tblPr/>
      <w:tcPr>
        <w:vAlign w:val="center"/>
      </w:tcPr>
    </w:tblStylePr>
  </w:style>
  <w:style w:type="table" w:customStyle="1" w:styleId="ECHRTableFax">
    <w:name w:val="ECHR_Table_Fax"/>
    <w:basedOn w:val="TableNormal"/>
    <w:uiPriority w:val="99"/>
    <w:rsid w:val="00893576"/>
    <w:rPr>
      <w:color w:val="000000" w:themeColor="text1"/>
    </w:rPr>
    <w:tblPr>
      <w:tblInd w:w="-680" w:type="dxa"/>
      <w:tblBorders>
        <w:insideH w:val="single" w:sz="4" w:space="0" w:color="C6C6C6" w:themeColor="text2"/>
        <w:insideV w:val="single" w:sz="4" w:space="0" w:color="C6C6C6" w:themeColor="text2"/>
      </w:tblBorders>
      <w:tblCellMar>
        <w:top w:w="142" w:type="dxa"/>
        <w:bottom w:w="142" w:type="dxa"/>
      </w:tblCellMar>
    </w:tblPr>
    <w:trPr>
      <w:cantSplit/>
    </w:trPr>
  </w:style>
  <w:style w:type="table" w:customStyle="1" w:styleId="ECHRTableMemo">
    <w:name w:val="ECHR_Table_Memo"/>
    <w:basedOn w:val="TableNormal"/>
    <w:uiPriority w:val="99"/>
    <w:rsid w:val="00210338"/>
    <w:tblPr>
      <w:jc w:val="center"/>
      <w:tblCellMar>
        <w:top w:w="113" w:type="dxa"/>
        <w:left w:w="0" w:type="dxa"/>
        <w:bottom w:w="113" w:type="dxa"/>
        <w:right w:w="0" w:type="dxa"/>
      </w:tblCellMar>
    </w:tblPr>
    <w:trPr>
      <w:jc w:val="center"/>
    </w:trPr>
    <w:tblStylePr w:type="lastRow">
      <w:tblPr/>
      <w:tcPr>
        <w:tcBorders>
          <w:top w:val="nil"/>
          <w:left w:val="nil"/>
          <w:bottom w:val="single" w:sz="4" w:space="0" w:color="949494" w:themeColor="text2" w:themeShade="BF"/>
          <w:right w:val="nil"/>
          <w:insideH w:val="nil"/>
          <w:insideV w:val="nil"/>
          <w:tl2br w:val="nil"/>
          <w:tr2bl w:val="nil"/>
        </w:tcBorders>
      </w:tcPr>
    </w:tblStylePr>
  </w:style>
  <w:style w:type="table" w:customStyle="1" w:styleId="ECHRDNTable">
    <w:name w:val="ECHR_DN_Table"/>
    <w:aliases w:val="DN_Table"/>
    <w:basedOn w:val="TableNormal"/>
    <w:uiPriority w:val="99"/>
    <w:rsid w:val="0090506B"/>
    <w:tblPr>
      <w:jc w:val="center"/>
      <w:tblBorders>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57" w:type="dxa"/>
        <w:bottom w:w="57" w:type="dxa"/>
      </w:tblCellMar>
    </w:tblPr>
    <w:trPr>
      <w:jc w:val="center"/>
    </w:trPr>
    <w:tcPr>
      <w:vAlign w:val="center"/>
    </w:tcPr>
    <w:tblStylePr w:type="firstRow">
      <w:pPr>
        <w:wordWrap/>
        <w:spacing w:beforeLines="0"/>
        <w:ind w:leftChars="0" w:left="0"/>
      </w:pPr>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nil"/>
          <w:right w:val="single" w:sz="4" w:space="0" w:color="949494" w:themeColor="text2" w:themeShade="BF"/>
          <w:insideH w:val="nil"/>
          <w:insideV w:val="nil"/>
          <w:tl2br w:val="nil"/>
          <w:tr2bl w:val="nil"/>
        </w:tcBorders>
        <w:shd w:val="clear" w:color="auto" w:fill="DFDFDF" w:themeFill="background2" w:themeFillShade="E6"/>
      </w:tcPr>
    </w:tblStylePr>
  </w:style>
  <w:style w:type="paragraph" w:styleId="TOAHeading">
    <w:name w:val="toa heading"/>
    <w:basedOn w:val="Normal"/>
    <w:next w:val="Normal"/>
    <w:uiPriority w:val="99"/>
    <w:semiHidden/>
    <w:rsid w:val="002935E9"/>
    <w:pPr>
      <w:keepNext/>
      <w:keepLines/>
      <w:spacing w:before="240"/>
      <w:contextualSpacing/>
      <w:jc w:val="center"/>
    </w:pPr>
    <w:rPr>
      <w:rFonts w:asciiTheme="majorHAnsi" w:eastAsiaTheme="majorEastAsia" w:hAnsiTheme="majorHAnsi" w:cstheme="majorBidi"/>
      <w:b/>
      <w:bCs/>
      <w:color w:val="474747" w:themeColor="accent3" w:themeShade="BF"/>
      <w:sz w:val="28"/>
      <w:szCs w:val="24"/>
    </w:rPr>
  </w:style>
  <w:style w:type="paragraph" w:customStyle="1" w:styleId="ECHRParaQuote">
    <w:name w:val="ECHR_Para_Quote"/>
    <w:aliases w:val="Ju_Quot"/>
    <w:basedOn w:val="Normal"/>
    <w:uiPriority w:val="14"/>
    <w:qFormat/>
    <w:rsid w:val="002935E9"/>
    <w:pPr>
      <w:spacing w:before="120" w:after="120"/>
      <w:ind w:left="425" w:firstLine="142"/>
    </w:pPr>
    <w:rPr>
      <w:sz w:val="20"/>
    </w:rPr>
  </w:style>
  <w:style w:type="paragraph" w:customStyle="1" w:styleId="ECHRPara">
    <w:name w:val="ECHR_Para"/>
    <w:aliases w:val="Ju_Para"/>
    <w:basedOn w:val="Normal"/>
    <w:link w:val="ECHRParaChar"/>
    <w:uiPriority w:val="12"/>
    <w:qFormat/>
    <w:rsid w:val="002935E9"/>
    <w:pPr>
      <w:ind w:firstLine="284"/>
    </w:pPr>
  </w:style>
  <w:style w:type="table" w:customStyle="1" w:styleId="ECHRTableSimpleBox">
    <w:name w:val="ECHR_Table_Simple_Box"/>
    <w:basedOn w:val="TableNormal"/>
    <w:uiPriority w:val="99"/>
    <w:rsid w:val="00AE354C"/>
    <w:tblPr>
      <w:tblBorders>
        <w:top w:val="single" w:sz="4" w:space="0" w:color="9F9F9F" w:themeColor="accent3" w:themeTint="99"/>
        <w:left w:val="single" w:sz="4" w:space="0" w:color="9F9F9F" w:themeColor="accent3" w:themeTint="99"/>
        <w:bottom w:val="single" w:sz="4" w:space="0" w:color="9F9F9F" w:themeColor="accent3" w:themeTint="99"/>
        <w:right w:val="single" w:sz="4" w:space="0" w:color="9F9F9F" w:themeColor="accent3" w:themeTint="99"/>
      </w:tblBorders>
      <w:tblCellMar>
        <w:top w:w="113" w:type="dxa"/>
        <w:bottom w:w="113" w:type="dxa"/>
      </w:tblCellMar>
    </w:tblPr>
  </w:style>
  <w:style w:type="table" w:customStyle="1" w:styleId="ECHRTableNoLines">
    <w:name w:val="ECHR_Table_No_Lines"/>
    <w:basedOn w:val="TableNormal"/>
    <w:uiPriority w:val="99"/>
    <w:rsid w:val="00F218EF"/>
    <w:tblPr>
      <w:tblCellMar>
        <w:top w:w="85" w:type="dxa"/>
        <w:left w:w="142" w:type="dxa"/>
        <w:bottom w:w="28" w:type="dxa"/>
        <w:right w:w="142" w:type="dxa"/>
      </w:tblCellMar>
    </w:tblPr>
    <w:tblStylePr w:type="firstRow">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nil"/>
          <w:tl2br w:val="nil"/>
          <w:tr2bl w:val="nil"/>
        </w:tcBorders>
        <w:shd w:val="clear" w:color="auto" w:fill="DFDFDF" w:themeFill="background2" w:themeFillShade="E6"/>
      </w:tcPr>
    </w:tblStylePr>
    <w:tblStylePr w:type="firstCol">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tcPr>
    </w:tblStylePr>
  </w:style>
  <w:style w:type="table" w:customStyle="1" w:styleId="ECHRTableForInternalUse">
    <w:name w:val="ECHR_Table_For_Internal_Use"/>
    <w:basedOn w:val="TableNormal"/>
    <w:uiPriority w:val="99"/>
    <w:rsid w:val="005474E7"/>
    <w:rPr>
      <w:color w:val="636363" w:themeColor="text2" w:themeShade="80"/>
      <w:sz w:val="18"/>
    </w:rPr>
    <w:tblPr>
      <w:tblStyleColBandSize w:val="1"/>
      <w:jc w:val="right"/>
      <w:tblCellMar>
        <w:top w:w="113" w:type="dxa"/>
        <w:bottom w:w="28" w:type="dxa"/>
      </w:tblCellMar>
    </w:tblPr>
    <w:trPr>
      <w:jc w:val="right"/>
    </w:trPr>
    <w:tblStylePr w:type="firstRow">
      <w:rPr>
        <w:b/>
      </w:rPr>
    </w:tblStylePr>
    <w:tblStylePr w:type="lastCol">
      <w:pPr>
        <w:jc w:val="right"/>
      </w:p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tblStylePr w:type="band1Vert">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style>
  <w:style w:type="table" w:customStyle="1" w:styleId="ECHRListTable">
    <w:name w:val="ECHR_List_Table"/>
    <w:basedOn w:val="TableNormal"/>
    <w:uiPriority w:val="99"/>
    <w:rsid w:val="002935E9"/>
    <w:tblPr>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b/>
        <w:color w:val="474747" w:themeColor="accent3" w:themeShade="BF"/>
      </w:rPr>
      <w:tblPr/>
      <w:trPr>
        <w:tblHeader/>
      </w:tr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shd w:val="clear" w:color="auto" w:fill="DFDFDF" w:themeFill="background2" w:themeFillShade="E6"/>
      </w:tcPr>
    </w:tblStylePr>
  </w:style>
  <w:style w:type="table" w:customStyle="1" w:styleId="ECHRHeaderTable">
    <w:name w:val="ECHR_Header_Table"/>
    <w:basedOn w:val="TableNormal"/>
    <w:uiPriority w:val="99"/>
    <w:rsid w:val="00661971"/>
    <w:tblPr>
      <w:tblInd w:w="-680" w:type="dxa"/>
      <w:tblBorders>
        <w:bottom w:val="single" w:sz="6" w:space="0" w:color="949494" w:themeColor="text2" w:themeShade="BF"/>
      </w:tblBorders>
      <w:tblCellMar>
        <w:left w:w="0" w:type="dxa"/>
        <w:bottom w:w="28" w:type="dxa"/>
        <w:right w:w="0" w:type="dxa"/>
      </w:tblCellMar>
    </w:tblPr>
    <w:tcPr>
      <w:vAlign w:val="bottom"/>
    </w:tcPr>
    <w:tblStylePr w:type="lastCol">
      <w:pPr>
        <w:wordWrap/>
        <w:jc w:val="both"/>
      </w:pPr>
    </w:tblStylePr>
  </w:style>
  <w:style w:type="table" w:customStyle="1" w:styleId="ECHRTableOddBanded">
    <w:name w:val="ECHR_Table_Odd_Banded"/>
    <w:basedOn w:val="TableNormal"/>
    <w:uiPriority w:val="99"/>
    <w:rsid w:val="00860B03"/>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single" w:sz="4" w:space="0" w:color="949494" w:themeColor="text2" w:themeShade="BF"/>
          <w:tl2br w:val="nil"/>
          <w:tr2bl w:val="nil"/>
        </w:tcBorders>
        <w:shd w:val="clear" w:color="auto" w:fill="DFDFDF" w:themeFill="background2" w:themeFillShade="E6"/>
      </w:tcPr>
    </w:tblStylePr>
    <w:tblStylePr w:type="band1Vert">
      <w:tblPr/>
      <w:tcPr>
        <w:tcBorders>
          <w:top w:val="nil"/>
          <w:left w:val="nil"/>
          <w:bottom w:val="nil"/>
          <w:right w:val="nil"/>
          <w:insideH w:val="nil"/>
          <w:insideV w:val="nil"/>
          <w:tl2br w:val="nil"/>
          <w:tr2bl w:val="nil"/>
        </w:tcBorders>
        <w:shd w:val="clear" w:color="auto" w:fill="DFDFDF" w:themeFill="background2" w:themeFillShade="E6"/>
      </w:tcPr>
    </w:tblStylePr>
    <w:tblStylePr w:type="band1Horz">
      <w:rPr>
        <w:b/>
      </w:rPr>
      <w:tblPr/>
      <w:tcPr>
        <w:shd w:val="clear" w:color="auto" w:fill="DFDFDF" w:themeFill="background2" w:themeFillShade="E6"/>
      </w:tcPr>
    </w:tblStylePr>
  </w:style>
  <w:style w:type="paragraph" w:customStyle="1" w:styleId="ECHRDecisionBody">
    <w:name w:val="ECHR_Decision_Body"/>
    <w:aliases w:val="Ju_Judges"/>
    <w:basedOn w:val="Normal"/>
    <w:uiPriority w:val="11"/>
    <w:qFormat/>
    <w:rsid w:val="002935E9"/>
    <w:pPr>
      <w:tabs>
        <w:tab w:val="left" w:pos="567"/>
        <w:tab w:val="left" w:pos="1134"/>
      </w:tabs>
      <w:jc w:val="left"/>
    </w:pPr>
  </w:style>
  <w:style w:type="table" w:customStyle="1" w:styleId="ECHRHeaderTableReduced">
    <w:name w:val="ECHR_Header_Table_Reduced"/>
    <w:basedOn w:val="TableNormal"/>
    <w:uiPriority w:val="99"/>
    <w:rsid w:val="00B52BE0"/>
    <w:tblPr>
      <w:tblInd w:w="-680" w:type="dxa"/>
      <w:tblCellMar>
        <w:left w:w="0" w:type="dxa"/>
        <w:right w:w="0" w:type="dxa"/>
      </w:tblCellMar>
    </w:tblPr>
    <w:tcPr>
      <w:vAlign w:val="bottom"/>
    </w:tcPr>
    <w:tblStylePr w:type="firstRow">
      <w:tblPr/>
      <w:tcPr>
        <w:tcBorders>
          <w:top w:val="nil"/>
          <w:left w:val="nil"/>
          <w:bottom w:val="single" w:sz="6" w:space="0" w:color="949494" w:themeColor="text2" w:themeShade="BF"/>
          <w:right w:val="nil"/>
          <w:insideH w:val="nil"/>
          <w:insideV w:val="nil"/>
          <w:tl2br w:val="nil"/>
          <w:tr2bl w:val="nil"/>
        </w:tcBorders>
      </w:tcPr>
    </w:tblStylePr>
    <w:tblStylePr w:type="lastRow">
      <w:pPr>
        <w:jc w:val="right"/>
      </w:pPr>
      <w:tblPr/>
      <w:tcPr>
        <w:tcBorders>
          <w:top w:val="single" w:sz="6" w:space="0" w:color="949494" w:themeColor="text2" w:themeShade="BF"/>
          <w:left w:val="nil"/>
          <w:bottom w:val="nil"/>
          <w:right w:val="nil"/>
          <w:insideH w:val="nil"/>
          <w:insideV w:val="nil"/>
          <w:tl2br w:val="nil"/>
          <w:tr2bl w:val="nil"/>
        </w:tcBorders>
      </w:tcPr>
    </w:tblStylePr>
  </w:style>
  <w:style w:type="paragraph" w:customStyle="1" w:styleId="JuList">
    <w:name w:val="Ju_List"/>
    <w:basedOn w:val="Normal"/>
    <w:uiPriority w:val="28"/>
    <w:qFormat/>
    <w:rsid w:val="002935E9"/>
    <w:pPr>
      <w:ind w:left="340" w:hanging="340"/>
    </w:pPr>
  </w:style>
  <w:style w:type="paragraph" w:customStyle="1" w:styleId="JuSigned">
    <w:name w:val="Ju_Signed"/>
    <w:basedOn w:val="Normal"/>
    <w:next w:val="JuParaLast"/>
    <w:uiPriority w:val="32"/>
    <w:qFormat/>
    <w:rsid w:val="002935E9"/>
    <w:pPr>
      <w:tabs>
        <w:tab w:val="center" w:pos="851"/>
        <w:tab w:val="center" w:pos="6407"/>
      </w:tabs>
      <w:spacing w:before="720"/>
      <w:jc w:val="left"/>
    </w:pPr>
  </w:style>
  <w:style w:type="paragraph" w:customStyle="1" w:styleId="JuParaLast">
    <w:name w:val="Ju_Para_Last"/>
    <w:basedOn w:val="Normal"/>
    <w:next w:val="ECHRPara"/>
    <w:uiPriority w:val="30"/>
    <w:qFormat/>
    <w:rsid w:val="002935E9"/>
    <w:pPr>
      <w:keepNext/>
      <w:keepLines/>
      <w:spacing w:before="240"/>
      <w:ind w:firstLine="284"/>
    </w:pPr>
  </w:style>
  <w:style w:type="paragraph" w:customStyle="1" w:styleId="OpiH1">
    <w:name w:val="Opi_H_1"/>
    <w:basedOn w:val="ECHRHeading2"/>
    <w:uiPriority w:val="42"/>
    <w:qFormat/>
    <w:rsid w:val="002935E9"/>
    <w:pPr>
      <w:ind w:left="635" w:hanging="357"/>
      <w:outlineLvl w:val="2"/>
    </w:pPr>
  </w:style>
  <w:style w:type="character" w:styleId="PageNumber">
    <w:name w:val="page number"/>
    <w:uiPriority w:val="99"/>
    <w:semiHidden/>
    <w:rsid w:val="00014566"/>
    <w:rPr>
      <w:sz w:val="18"/>
    </w:rPr>
  </w:style>
  <w:style w:type="paragraph" w:customStyle="1" w:styleId="JuLista">
    <w:name w:val="Ju_List_a"/>
    <w:basedOn w:val="JuList"/>
    <w:uiPriority w:val="28"/>
    <w:qFormat/>
    <w:rsid w:val="002935E9"/>
    <w:pPr>
      <w:ind w:left="346" w:firstLine="0"/>
    </w:pPr>
  </w:style>
  <w:style w:type="paragraph" w:customStyle="1" w:styleId="OpiHa">
    <w:name w:val="Opi_H_a"/>
    <w:basedOn w:val="ECHRHeading3"/>
    <w:uiPriority w:val="43"/>
    <w:qFormat/>
    <w:rsid w:val="002935E9"/>
    <w:pPr>
      <w:ind w:left="833" w:hanging="357"/>
      <w:outlineLvl w:val="3"/>
    </w:pPr>
    <w:rPr>
      <w:b/>
      <w:i w:val="0"/>
      <w:sz w:val="20"/>
    </w:rPr>
  </w:style>
  <w:style w:type="character" w:styleId="CommentReference">
    <w:name w:val="annotation reference"/>
    <w:uiPriority w:val="99"/>
    <w:semiHidden/>
    <w:rsid w:val="00014566"/>
    <w:rPr>
      <w:sz w:val="16"/>
    </w:rPr>
  </w:style>
  <w:style w:type="paragraph" w:styleId="CommentText">
    <w:name w:val="annotation text"/>
    <w:basedOn w:val="Normal"/>
    <w:link w:val="CommentTextChar"/>
    <w:uiPriority w:val="99"/>
    <w:semiHidden/>
    <w:rsid w:val="00014566"/>
    <w:rPr>
      <w:sz w:val="20"/>
    </w:rPr>
  </w:style>
  <w:style w:type="character" w:customStyle="1" w:styleId="CommentTextChar">
    <w:name w:val="Comment Text Char"/>
    <w:basedOn w:val="DefaultParagraphFont"/>
    <w:link w:val="CommentText"/>
    <w:uiPriority w:val="99"/>
    <w:semiHidden/>
    <w:rsid w:val="00014566"/>
    <w:rPr>
      <w:rFonts w:eastAsiaTheme="minorEastAsia"/>
      <w:sz w:val="20"/>
    </w:rPr>
  </w:style>
  <w:style w:type="paragraph" w:styleId="CommentSubject">
    <w:name w:val="annotation subject"/>
    <w:basedOn w:val="CommentText"/>
    <w:next w:val="CommentText"/>
    <w:link w:val="CommentSubjectChar"/>
    <w:uiPriority w:val="99"/>
    <w:semiHidden/>
    <w:rsid w:val="00014566"/>
    <w:rPr>
      <w:b/>
      <w:bCs/>
    </w:rPr>
  </w:style>
  <w:style w:type="character" w:customStyle="1" w:styleId="CommentSubjectChar">
    <w:name w:val="Comment Subject Char"/>
    <w:basedOn w:val="CommentTextChar"/>
    <w:link w:val="CommentSubject"/>
    <w:uiPriority w:val="99"/>
    <w:semiHidden/>
    <w:rsid w:val="00014566"/>
    <w:rPr>
      <w:rFonts w:eastAsiaTheme="minorEastAsia"/>
      <w:b/>
      <w:bCs/>
      <w:sz w:val="20"/>
    </w:rPr>
  </w:style>
  <w:style w:type="character" w:styleId="EndnoteReference">
    <w:name w:val="endnote reference"/>
    <w:basedOn w:val="DefaultParagraphFont"/>
    <w:uiPriority w:val="99"/>
    <w:semiHidden/>
    <w:rsid w:val="002935E9"/>
    <w:rPr>
      <w:vertAlign w:val="superscript"/>
    </w:rPr>
  </w:style>
  <w:style w:type="paragraph" w:styleId="EndnoteText">
    <w:name w:val="endnote text"/>
    <w:basedOn w:val="Normal"/>
    <w:link w:val="EndnoteTextChar"/>
    <w:uiPriority w:val="99"/>
    <w:semiHidden/>
    <w:rsid w:val="002935E9"/>
    <w:rPr>
      <w:sz w:val="20"/>
      <w:szCs w:val="20"/>
    </w:rPr>
  </w:style>
  <w:style w:type="character" w:customStyle="1" w:styleId="EndnoteTextChar">
    <w:name w:val="Endnote Text Char"/>
    <w:basedOn w:val="DefaultParagraphFont"/>
    <w:link w:val="EndnoteText"/>
    <w:uiPriority w:val="99"/>
    <w:semiHidden/>
    <w:rsid w:val="002935E9"/>
    <w:rPr>
      <w:rFonts w:eastAsiaTheme="minorEastAsia"/>
      <w:sz w:val="20"/>
      <w:szCs w:val="20"/>
      <w:lang w:val="en-GB"/>
    </w:rPr>
  </w:style>
  <w:style w:type="character" w:styleId="FollowedHyperlink">
    <w:name w:val="FollowedHyperlink"/>
    <w:uiPriority w:val="99"/>
    <w:semiHidden/>
    <w:rsid w:val="00014566"/>
    <w:rPr>
      <w:color w:val="800080"/>
      <w:u w:val="single"/>
    </w:rPr>
  </w:style>
  <w:style w:type="paragraph" w:styleId="DocumentMap">
    <w:name w:val="Document Map"/>
    <w:basedOn w:val="Normal"/>
    <w:link w:val="DocumentMapChar"/>
    <w:uiPriority w:val="99"/>
    <w:semiHidden/>
    <w:rsid w:val="00014566"/>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rsid w:val="00014566"/>
    <w:rPr>
      <w:rFonts w:ascii="Tahoma" w:eastAsiaTheme="minorEastAsia" w:hAnsi="Tahoma" w:cs="Tahoma"/>
      <w:sz w:val="20"/>
      <w:shd w:val="clear" w:color="auto" w:fill="000080"/>
    </w:rPr>
  </w:style>
  <w:style w:type="paragraph" w:customStyle="1" w:styleId="OpiHA0">
    <w:name w:val="Opi_H_A"/>
    <w:basedOn w:val="ECHRHeading1"/>
    <w:next w:val="OpiPara"/>
    <w:uiPriority w:val="41"/>
    <w:qFormat/>
    <w:rsid w:val="002935E9"/>
    <w:pPr>
      <w:tabs>
        <w:tab w:val="clear" w:pos="357"/>
      </w:tabs>
      <w:outlineLvl w:val="1"/>
    </w:pPr>
    <w:rPr>
      <w:b/>
    </w:rPr>
  </w:style>
  <w:style w:type="paragraph" w:styleId="ListBullet">
    <w:name w:val="List Bullet"/>
    <w:basedOn w:val="Normal"/>
    <w:uiPriority w:val="99"/>
    <w:semiHidden/>
    <w:rsid w:val="00014566"/>
    <w:pPr>
      <w:numPr>
        <w:numId w:val="1"/>
      </w:numPr>
    </w:pPr>
  </w:style>
  <w:style w:type="character" w:customStyle="1" w:styleId="JuITMark">
    <w:name w:val="Ju_ITMark"/>
    <w:basedOn w:val="DefaultParagraphFont"/>
    <w:uiPriority w:val="38"/>
    <w:qFormat/>
    <w:rsid w:val="002935E9"/>
    <w:rPr>
      <w:vanish w:val="0"/>
      <w:color w:val="auto"/>
      <w:sz w:val="14"/>
      <w:bdr w:val="none" w:sz="0" w:space="0" w:color="auto"/>
      <w:shd w:val="clear" w:color="auto" w:fill="BEE5FF" w:themeFill="background1" w:themeFillTint="33"/>
    </w:rPr>
  </w:style>
  <w:style w:type="paragraph" w:styleId="Subtitle">
    <w:name w:val="Subtitle"/>
    <w:basedOn w:val="Normal"/>
    <w:next w:val="Normal"/>
    <w:link w:val="SubtitleChar"/>
    <w:uiPriority w:val="99"/>
    <w:semiHidden/>
    <w:qFormat/>
    <w:rsid w:val="002935E9"/>
    <w:pPr>
      <w:spacing w:after="600"/>
    </w:pPr>
    <w:rPr>
      <w:rFonts w:asciiTheme="majorHAnsi" w:eastAsiaTheme="majorEastAsia" w:hAnsiTheme="majorHAnsi" w:cstheme="majorBidi"/>
      <w:i/>
      <w:iCs/>
      <w:spacing w:val="13"/>
      <w:szCs w:val="24"/>
      <w:lang w:val="en-US" w:bidi="en-US"/>
    </w:rPr>
  </w:style>
  <w:style w:type="character" w:customStyle="1" w:styleId="SubtitleChar">
    <w:name w:val="Subtitle Char"/>
    <w:basedOn w:val="DefaultParagraphFont"/>
    <w:link w:val="Subtitle"/>
    <w:uiPriority w:val="99"/>
    <w:semiHidden/>
    <w:rsid w:val="002935E9"/>
    <w:rPr>
      <w:rFonts w:asciiTheme="majorHAnsi" w:eastAsiaTheme="majorEastAsia" w:hAnsiTheme="majorHAnsi" w:cstheme="majorBidi"/>
      <w:i/>
      <w:iCs/>
      <w:spacing w:val="13"/>
      <w:sz w:val="24"/>
      <w:szCs w:val="24"/>
      <w:lang w:bidi="en-US"/>
    </w:rPr>
  </w:style>
  <w:style w:type="numbering" w:styleId="111111">
    <w:name w:val="Outline List 2"/>
    <w:basedOn w:val="NoList"/>
    <w:uiPriority w:val="99"/>
    <w:semiHidden/>
    <w:rsid w:val="00014566"/>
    <w:pPr>
      <w:numPr>
        <w:numId w:val="2"/>
      </w:numPr>
    </w:pPr>
  </w:style>
  <w:style w:type="numbering" w:styleId="1ai">
    <w:name w:val="Outline List 1"/>
    <w:basedOn w:val="NoList"/>
    <w:uiPriority w:val="99"/>
    <w:semiHidden/>
    <w:rsid w:val="00014566"/>
    <w:pPr>
      <w:numPr>
        <w:numId w:val="3"/>
      </w:numPr>
    </w:pPr>
  </w:style>
  <w:style w:type="numbering" w:styleId="ArticleSection">
    <w:name w:val="Outline List 3"/>
    <w:basedOn w:val="NoList"/>
    <w:uiPriority w:val="99"/>
    <w:semiHidden/>
    <w:rsid w:val="00014566"/>
    <w:pPr>
      <w:numPr>
        <w:numId w:val="4"/>
      </w:numPr>
    </w:pPr>
  </w:style>
  <w:style w:type="paragraph" w:styleId="Bibliography">
    <w:name w:val="Bibliography"/>
    <w:basedOn w:val="Normal"/>
    <w:next w:val="Normal"/>
    <w:uiPriority w:val="99"/>
    <w:semiHidden/>
    <w:unhideWhenUsed/>
    <w:rsid w:val="00014566"/>
  </w:style>
  <w:style w:type="paragraph" w:styleId="BlockText">
    <w:name w:val="Block Text"/>
    <w:basedOn w:val="Normal"/>
    <w:uiPriority w:val="99"/>
    <w:semiHidden/>
    <w:rsid w:val="00014566"/>
    <w:pPr>
      <w:pBdr>
        <w:top w:val="single" w:sz="2" w:space="10" w:color="0072BC" w:themeColor="accent1" w:shadow="1" w:frame="1"/>
        <w:left w:val="single" w:sz="2" w:space="10" w:color="0072BC" w:themeColor="accent1" w:shadow="1" w:frame="1"/>
        <w:bottom w:val="single" w:sz="2" w:space="10" w:color="0072BC" w:themeColor="accent1" w:shadow="1" w:frame="1"/>
        <w:right w:val="single" w:sz="2" w:space="10" w:color="0072BC" w:themeColor="accent1" w:shadow="1" w:frame="1"/>
      </w:pBdr>
      <w:ind w:left="1152" w:right="1152"/>
    </w:pPr>
    <w:rPr>
      <w:i/>
      <w:iCs/>
      <w:color w:val="0072BC" w:themeColor="accent1"/>
    </w:rPr>
  </w:style>
  <w:style w:type="paragraph" w:styleId="BodyText">
    <w:name w:val="Body Text"/>
    <w:basedOn w:val="Normal"/>
    <w:link w:val="BodyTextChar"/>
    <w:uiPriority w:val="99"/>
    <w:semiHidden/>
    <w:rsid w:val="00014566"/>
    <w:pPr>
      <w:spacing w:after="120"/>
    </w:pPr>
  </w:style>
  <w:style w:type="character" w:customStyle="1" w:styleId="BodyTextChar">
    <w:name w:val="Body Text Char"/>
    <w:basedOn w:val="DefaultParagraphFont"/>
    <w:link w:val="BodyText"/>
    <w:uiPriority w:val="99"/>
    <w:semiHidden/>
    <w:rsid w:val="00014566"/>
    <w:rPr>
      <w:rFonts w:eastAsiaTheme="minorEastAsia"/>
      <w:sz w:val="24"/>
    </w:rPr>
  </w:style>
  <w:style w:type="paragraph" w:styleId="BodyText2">
    <w:name w:val="Body Text 2"/>
    <w:basedOn w:val="Normal"/>
    <w:link w:val="BodyText2Char"/>
    <w:uiPriority w:val="99"/>
    <w:semiHidden/>
    <w:rsid w:val="00014566"/>
    <w:pPr>
      <w:spacing w:after="120" w:line="480" w:lineRule="auto"/>
    </w:pPr>
  </w:style>
  <w:style w:type="character" w:customStyle="1" w:styleId="BodyText2Char">
    <w:name w:val="Body Text 2 Char"/>
    <w:basedOn w:val="DefaultParagraphFont"/>
    <w:link w:val="BodyText2"/>
    <w:uiPriority w:val="99"/>
    <w:semiHidden/>
    <w:rsid w:val="00014566"/>
    <w:rPr>
      <w:rFonts w:eastAsiaTheme="minorEastAsia"/>
      <w:sz w:val="24"/>
    </w:rPr>
  </w:style>
  <w:style w:type="paragraph" w:styleId="BodyText3">
    <w:name w:val="Body Text 3"/>
    <w:basedOn w:val="Normal"/>
    <w:link w:val="BodyText3Char"/>
    <w:uiPriority w:val="99"/>
    <w:semiHidden/>
    <w:rsid w:val="00014566"/>
    <w:pPr>
      <w:spacing w:after="120"/>
    </w:pPr>
    <w:rPr>
      <w:sz w:val="16"/>
      <w:szCs w:val="16"/>
    </w:rPr>
  </w:style>
  <w:style w:type="character" w:customStyle="1" w:styleId="BodyText3Char">
    <w:name w:val="Body Text 3 Char"/>
    <w:basedOn w:val="DefaultParagraphFont"/>
    <w:link w:val="BodyText3"/>
    <w:uiPriority w:val="99"/>
    <w:semiHidden/>
    <w:rsid w:val="00014566"/>
    <w:rPr>
      <w:rFonts w:eastAsiaTheme="minorEastAsia"/>
      <w:sz w:val="16"/>
      <w:szCs w:val="16"/>
    </w:rPr>
  </w:style>
  <w:style w:type="paragraph" w:styleId="BodyTextFirstIndent">
    <w:name w:val="Body Text First Indent"/>
    <w:basedOn w:val="BodyText"/>
    <w:link w:val="BodyTextFirstIndentChar"/>
    <w:uiPriority w:val="99"/>
    <w:semiHidden/>
    <w:rsid w:val="00014566"/>
    <w:pPr>
      <w:spacing w:after="0"/>
      <w:ind w:firstLine="360"/>
    </w:pPr>
  </w:style>
  <w:style w:type="character" w:customStyle="1" w:styleId="BodyTextFirstIndentChar">
    <w:name w:val="Body Text First Indent Char"/>
    <w:basedOn w:val="BodyTextChar"/>
    <w:link w:val="BodyTextFirstIndent"/>
    <w:uiPriority w:val="99"/>
    <w:semiHidden/>
    <w:rsid w:val="00014566"/>
    <w:rPr>
      <w:rFonts w:eastAsiaTheme="minorEastAsia"/>
      <w:sz w:val="24"/>
    </w:rPr>
  </w:style>
  <w:style w:type="paragraph" w:styleId="BodyTextIndent">
    <w:name w:val="Body Text Indent"/>
    <w:basedOn w:val="Normal"/>
    <w:link w:val="BodyTextIndentChar"/>
    <w:uiPriority w:val="99"/>
    <w:semiHidden/>
    <w:rsid w:val="00014566"/>
    <w:pPr>
      <w:spacing w:after="120"/>
      <w:ind w:left="283"/>
    </w:pPr>
  </w:style>
  <w:style w:type="character" w:customStyle="1" w:styleId="BodyTextIndentChar">
    <w:name w:val="Body Text Indent Char"/>
    <w:basedOn w:val="DefaultParagraphFont"/>
    <w:link w:val="BodyTextIndent"/>
    <w:uiPriority w:val="99"/>
    <w:semiHidden/>
    <w:rsid w:val="00014566"/>
    <w:rPr>
      <w:rFonts w:eastAsiaTheme="minorEastAsia"/>
      <w:sz w:val="24"/>
    </w:rPr>
  </w:style>
  <w:style w:type="paragraph" w:styleId="BodyTextFirstIndent2">
    <w:name w:val="Body Text First Indent 2"/>
    <w:basedOn w:val="BodyTextIndent"/>
    <w:link w:val="BodyTextFirstIndent2Char"/>
    <w:uiPriority w:val="99"/>
    <w:semiHidden/>
    <w:rsid w:val="00014566"/>
    <w:pPr>
      <w:spacing w:after="0"/>
      <w:ind w:left="360" w:firstLine="360"/>
    </w:pPr>
  </w:style>
  <w:style w:type="character" w:customStyle="1" w:styleId="BodyTextFirstIndent2Char">
    <w:name w:val="Body Text First Indent 2 Char"/>
    <w:basedOn w:val="BodyTextIndentChar"/>
    <w:link w:val="BodyTextFirstIndent2"/>
    <w:uiPriority w:val="99"/>
    <w:semiHidden/>
    <w:rsid w:val="00014566"/>
    <w:rPr>
      <w:rFonts w:eastAsiaTheme="minorEastAsia"/>
      <w:sz w:val="24"/>
    </w:rPr>
  </w:style>
  <w:style w:type="paragraph" w:styleId="BodyTextIndent2">
    <w:name w:val="Body Text Indent 2"/>
    <w:basedOn w:val="Normal"/>
    <w:link w:val="BodyTextIndent2Char"/>
    <w:uiPriority w:val="99"/>
    <w:semiHidden/>
    <w:rsid w:val="00014566"/>
    <w:pPr>
      <w:spacing w:after="120" w:line="480" w:lineRule="auto"/>
      <w:ind w:left="283"/>
    </w:pPr>
  </w:style>
  <w:style w:type="character" w:customStyle="1" w:styleId="BodyTextIndent2Char">
    <w:name w:val="Body Text Indent 2 Char"/>
    <w:basedOn w:val="DefaultParagraphFont"/>
    <w:link w:val="BodyTextIndent2"/>
    <w:uiPriority w:val="99"/>
    <w:semiHidden/>
    <w:rsid w:val="00014566"/>
    <w:rPr>
      <w:rFonts w:eastAsiaTheme="minorEastAsia"/>
      <w:sz w:val="24"/>
    </w:rPr>
  </w:style>
  <w:style w:type="paragraph" w:styleId="BodyTextIndent3">
    <w:name w:val="Body Text Indent 3"/>
    <w:basedOn w:val="Normal"/>
    <w:link w:val="BodyTextIndent3Char"/>
    <w:uiPriority w:val="99"/>
    <w:semiHidden/>
    <w:rsid w:val="0001456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14566"/>
    <w:rPr>
      <w:rFonts w:eastAsiaTheme="minorEastAsia"/>
      <w:sz w:val="16"/>
      <w:szCs w:val="16"/>
    </w:rPr>
  </w:style>
  <w:style w:type="paragraph" w:styleId="Caption">
    <w:name w:val="caption"/>
    <w:basedOn w:val="Normal"/>
    <w:next w:val="Normal"/>
    <w:uiPriority w:val="99"/>
    <w:semiHidden/>
    <w:qFormat/>
    <w:rsid w:val="00014566"/>
    <w:pPr>
      <w:spacing w:after="200"/>
    </w:pPr>
    <w:rPr>
      <w:b/>
      <w:bCs/>
      <w:color w:val="0072BC" w:themeColor="accent1"/>
      <w:sz w:val="18"/>
      <w:szCs w:val="18"/>
    </w:rPr>
  </w:style>
  <w:style w:type="paragraph" w:styleId="Closing">
    <w:name w:val="Closing"/>
    <w:basedOn w:val="Normal"/>
    <w:link w:val="ClosingChar"/>
    <w:uiPriority w:val="99"/>
    <w:semiHidden/>
    <w:rsid w:val="00014566"/>
    <w:pPr>
      <w:ind w:left="4252"/>
    </w:pPr>
  </w:style>
  <w:style w:type="character" w:customStyle="1" w:styleId="ClosingChar">
    <w:name w:val="Closing Char"/>
    <w:basedOn w:val="DefaultParagraphFont"/>
    <w:link w:val="Closing"/>
    <w:uiPriority w:val="99"/>
    <w:semiHidden/>
    <w:rsid w:val="00014566"/>
    <w:rPr>
      <w:rFonts w:eastAsiaTheme="minorEastAsia"/>
      <w:sz w:val="24"/>
    </w:rPr>
  </w:style>
  <w:style w:type="table" w:styleId="ColorfulGrid">
    <w:name w:val="Colorful Grid"/>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0072BC" w:themeColor="background1"/>
      </w:rPr>
      <w:tblPr/>
      <w:tcPr>
        <w:shd w:val="clear" w:color="auto" w:fill="000000" w:themeFill="text1" w:themeFillShade="BF"/>
      </w:tcPr>
    </w:tblStylePr>
    <w:tblStylePr w:type="lastCol">
      <w:rPr>
        <w:color w:val="0072BC"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BEE5FF" w:themeFill="accent1" w:themeFillTint="33"/>
    </w:tcPr>
    <w:tblStylePr w:type="firstRow">
      <w:rPr>
        <w:b/>
        <w:bCs/>
      </w:rPr>
      <w:tblPr/>
      <w:tcPr>
        <w:shd w:val="clear" w:color="auto" w:fill="7ECBFF" w:themeFill="accent1" w:themeFillTint="66"/>
      </w:tcPr>
    </w:tblStylePr>
    <w:tblStylePr w:type="lastRow">
      <w:rPr>
        <w:b/>
        <w:bCs/>
        <w:color w:val="000000" w:themeColor="text1"/>
      </w:rPr>
      <w:tblPr/>
      <w:tcPr>
        <w:shd w:val="clear" w:color="auto" w:fill="7ECBFF" w:themeFill="accent1" w:themeFillTint="66"/>
      </w:tcPr>
    </w:tblStylePr>
    <w:tblStylePr w:type="firstCol">
      <w:rPr>
        <w:color w:val="0072BC" w:themeColor="background1"/>
      </w:rPr>
      <w:tblPr/>
      <w:tcPr>
        <w:shd w:val="clear" w:color="auto" w:fill="00548C" w:themeFill="accent1" w:themeFillShade="BF"/>
      </w:tcPr>
    </w:tblStylePr>
    <w:tblStylePr w:type="lastCol">
      <w:rPr>
        <w:color w:val="0072BC" w:themeColor="background1"/>
      </w:rPr>
      <w:tblPr/>
      <w:tcPr>
        <w:shd w:val="clear" w:color="auto" w:fill="00548C" w:themeFill="accent1" w:themeFillShade="BF"/>
      </w:tc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ColorfulGrid-Accent2">
    <w:name w:val="Colorful Grid Accent 2"/>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FFBFBF" w:themeFill="accent2" w:themeFillTint="33"/>
    </w:tcPr>
    <w:tblStylePr w:type="firstRow">
      <w:rPr>
        <w:b/>
        <w:bCs/>
      </w:rPr>
      <w:tblPr/>
      <w:tcPr>
        <w:shd w:val="clear" w:color="auto" w:fill="FF7F7F" w:themeFill="accent2" w:themeFillTint="66"/>
      </w:tcPr>
    </w:tblStylePr>
    <w:tblStylePr w:type="lastRow">
      <w:rPr>
        <w:b/>
        <w:bCs/>
        <w:color w:val="000000" w:themeColor="text1"/>
      </w:rPr>
      <w:tblPr/>
      <w:tcPr>
        <w:shd w:val="clear" w:color="auto" w:fill="FF7F7F" w:themeFill="accent2" w:themeFillTint="66"/>
      </w:tcPr>
    </w:tblStylePr>
    <w:tblStylePr w:type="firstCol">
      <w:rPr>
        <w:color w:val="0072BC" w:themeColor="background1"/>
      </w:rPr>
      <w:tblPr/>
      <w:tcPr>
        <w:shd w:val="clear" w:color="auto" w:fill="8F0000" w:themeFill="accent2" w:themeFillShade="BF"/>
      </w:tcPr>
    </w:tblStylePr>
    <w:tblStylePr w:type="lastCol">
      <w:rPr>
        <w:color w:val="0072BC" w:themeColor="background1"/>
      </w:rPr>
      <w:tblPr/>
      <w:tcPr>
        <w:shd w:val="clear" w:color="auto" w:fill="8F0000" w:themeFill="accent2" w:themeFillShade="BF"/>
      </w:tc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ColorfulGrid-Accent3">
    <w:name w:val="Colorful Grid Accent 3"/>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FDFDF" w:themeFill="accent3" w:themeFillTint="33"/>
    </w:tcPr>
    <w:tblStylePr w:type="firstRow">
      <w:rPr>
        <w:b/>
        <w:bCs/>
      </w:rPr>
      <w:tblPr/>
      <w:tcPr>
        <w:shd w:val="clear" w:color="auto" w:fill="BFBFBF" w:themeFill="accent3" w:themeFillTint="66"/>
      </w:tcPr>
    </w:tblStylePr>
    <w:tblStylePr w:type="lastRow">
      <w:rPr>
        <w:b/>
        <w:bCs/>
        <w:color w:val="000000" w:themeColor="text1"/>
      </w:rPr>
      <w:tblPr/>
      <w:tcPr>
        <w:shd w:val="clear" w:color="auto" w:fill="BFBFBF" w:themeFill="accent3" w:themeFillTint="66"/>
      </w:tcPr>
    </w:tblStylePr>
    <w:tblStylePr w:type="firstCol">
      <w:rPr>
        <w:color w:val="0072BC" w:themeColor="background1"/>
      </w:rPr>
      <w:tblPr/>
      <w:tcPr>
        <w:shd w:val="clear" w:color="auto" w:fill="474747" w:themeFill="accent3" w:themeFillShade="BF"/>
      </w:tcPr>
    </w:tblStylePr>
    <w:tblStylePr w:type="lastCol">
      <w:rPr>
        <w:color w:val="0072BC" w:themeColor="background1"/>
      </w:rPr>
      <w:tblPr/>
      <w:tcPr>
        <w:shd w:val="clear" w:color="auto" w:fill="474747" w:themeFill="accent3" w:themeFillShade="BF"/>
      </w:tc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ColorfulGrid-Accent4">
    <w:name w:val="Colorful Grid Accent 4"/>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EAEAEA" w:themeFill="accent4" w:themeFillTint="33"/>
    </w:tcPr>
    <w:tblStylePr w:type="firstRow">
      <w:rPr>
        <w:b/>
        <w:bCs/>
      </w:rPr>
      <w:tblPr/>
      <w:tcPr>
        <w:shd w:val="clear" w:color="auto" w:fill="D5D5D5" w:themeFill="accent4" w:themeFillTint="66"/>
      </w:tcPr>
    </w:tblStylePr>
    <w:tblStylePr w:type="lastRow">
      <w:rPr>
        <w:b/>
        <w:bCs/>
        <w:color w:val="000000" w:themeColor="text1"/>
      </w:rPr>
      <w:tblPr/>
      <w:tcPr>
        <w:shd w:val="clear" w:color="auto" w:fill="D5D5D5" w:themeFill="accent4" w:themeFillTint="66"/>
      </w:tcPr>
    </w:tblStylePr>
    <w:tblStylePr w:type="firstCol">
      <w:rPr>
        <w:color w:val="0072BC" w:themeColor="background1"/>
      </w:rPr>
      <w:tblPr/>
      <w:tcPr>
        <w:shd w:val="clear" w:color="auto" w:fill="707070" w:themeFill="accent4" w:themeFillShade="BF"/>
      </w:tcPr>
    </w:tblStylePr>
    <w:tblStylePr w:type="lastCol">
      <w:rPr>
        <w:color w:val="0072BC" w:themeColor="background1"/>
      </w:rPr>
      <w:tblPr/>
      <w:tcPr>
        <w:shd w:val="clear" w:color="auto" w:fill="707070" w:themeFill="accent4" w:themeFillShade="BF"/>
      </w:tc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ColorfulGrid-Accent5">
    <w:name w:val="Colorful Grid Accent 5"/>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0072BC" w:themeColor="background1"/>
      </w:rPr>
      <w:tblPr/>
      <w:tcPr>
        <w:shd w:val="clear" w:color="auto" w:fill="474747" w:themeFill="accent5" w:themeFillShade="BF"/>
      </w:tcPr>
    </w:tblStylePr>
    <w:tblStylePr w:type="lastCol">
      <w:rPr>
        <w:color w:val="0072BC"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0072BC" w:themeColor="background1"/>
      </w:rPr>
      <w:tblPr/>
      <w:tcPr>
        <w:shd w:val="clear" w:color="auto" w:fill="393939" w:themeFill="accent6" w:themeFillShade="BF"/>
      </w:tcPr>
    </w:tblStylePr>
    <w:tblStylePr w:type="lastCol">
      <w:rPr>
        <w:color w:val="0072BC"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99"/>
    <w:semiHidden/>
    <w:rsid w:val="00014566"/>
    <w:rPr>
      <w:color w:val="000000" w:themeColor="text1"/>
      <w:lang w:val="fr-FR" w:eastAsia="fr-FR"/>
    </w:rPr>
    <w:tblPr>
      <w:tblStyleRowBandSize w:val="1"/>
      <w:tblStyleColBandSize w:val="1"/>
    </w:tblPr>
    <w:tcPr>
      <w:shd w:val="clear" w:color="auto" w:fill="E6E6E6" w:themeFill="tex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9"/>
    <w:semiHidden/>
    <w:rsid w:val="00014566"/>
    <w:rPr>
      <w:color w:val="000000" w:themeColor="text1"/>
      <w:lang w:val="fr-FR" w:eastAsia="fr-FR"/>
    </w:rPr>
    <w:tblPr>
      <w:tblStyleRowBandSize w:val="1"/>
      <w:tblStyleColBandSize w:val="1"/>
    </w:tblPr>
    <w:tcPr>
      <w:shd w:val="clear" w:color="auto" w:fill="DFF2FF" w:themeFill="accen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FDFFF" w:themeFill="accent1" w:themeFillTint="3F"/>
      </w:tcPr>
    </w:tblStylePr>
    <w:tblStylePr w:type="band1Horz">
      <w:tblPr/>
      <w:tcPr>
        <w:shd w:val="clear" w:color="auto" w:fill="BEE5FF" w:themeFill="accent1" w:themeFillTint="33"/>
      </w:tcPr>
    </w:tblStylePr>
  </w:style>
  <w:style w:type="table" w:styleId="ColorfulList-Accent2">
    <w:name w:val="Colorful List Accent 2"/>
    <w:basedOn w:val="TableNormal"/>
    <w:uiPriority w:val="99"/>
    <w:semiHidden/>
    <w:rsid w:val="00014566"/>
    <w:rPr>
      <w:color w:val="000000" w:themeColor="text1"/>
      <w:lang w:val="fr-FR" w:eastAsia="fr-FR"/>
    </w:rPr>
    <w:tblPr>
      <w:tblStyleRowBandSize w:val="1"/>
      <w:tblStyleColBandSize w:val="1"/>
    </w:tblPr>
    <w:tcPr>
      <w:shd w:val="clear" w:color="auto" w:fill="FFDFDF" w:themeFill="accent2"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B0B0" w:themeFill="accent2" w:themeFillTint="3F"/>
      </w:tcPr>
    </w:tblStylePr>
    <w:tblStylePr w:type="band1Horz">
      <w:tblPr/>
      <w:tcPr>
        <w:shd w:val="clear" w:color="auto" w:fill="FFBFBF" w:themeFill="accent2" w:themeFillTint="33"/>
      </w:tcPr>
    </w:tblStylePr>
  </w:style>
  <w:style w:type="table" w:styleId="ColorfulList-Accent3">
    <w:name w:val="Colorful List Accent 3"/>
    <w:basedOn w:val="TableNormal"/>
    <w:uiPriority w:val="99"/>
    <w:semiHidden/>
    <w:rsid w:val="00014566"/>
    <w:rPr>
      <w:color w:val="000000" w:themeColor="text1"/>
      <w:lang w:val="fr-FR" w:eastAsia="fr-FR"/>
    </w:rPr>
    <w:tblPr>
      <w:tblStyleRowBandSize w:val="1"/>
      <w:tblStyleColBandSize w:val="1"/>
    </w:tblPr>
    <w:tcPr>
      <w:shd w:val="clear" w:color="auto" w:fill="EFEFEF" w:themeFill="accent3" w:themeFillTint="19"/>
    </w:tcPr>
    <w:tblStylePr w:type="firstRow">
      <w:rPr>
        <w:b/>
        <w:bCs/>
        <w:color w:val="0072BC" w:themeColor="background1"/>
      </w:rPr>
      <w:tblPr/>
      <w:tcPr>
        <w:tcBorders>
          <w:bottom w:val="single" w:sz="12" w:space="0" w:color="0072BC" w:themeColor="background1"/>
        </w:tcBorders>
        <w:shd w:val="clear" w:color="auto" w:fill="787878" w:themeFill="accent4" w:themeFillShade="CC"/>
      </w:tcPr>
    </w:tblStylePr>
    <w:tblStylePr w:type="lastRow">
      <w:rPr>
        <w:b/>
        <w:bCs/>
        <w:color w:val="787878" w:themeColor="accent4"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3" w:themeFillTint="3F"/>
      </w:tcPr>
    </w:tblStylePr>
    <w:tblStylePr w:type="band1Horz">
      <w:tblPr/>
      <w:tcPr>
        <w:shd w:val="clear" w:color="auto" w:fill="DFDFDF" w:themeFill="accent3" w:themeFillTint="33"/>
      </w:tcPr>
    </w:tblStylePr>
  </w:style>
  <w:style w:type="table" w:styleId="ColorfulList-Accent4">
    <w:name w:val="Colorful List Accent 4"/>
    <w:basedOn w:val="TableNormal"/>
    <w:uiPriority w:val="99"/>
    <w:semiHidden/>
    <w:rsid w:val="00014566"/>
    <w:rPr>
      <w:color w:val="000000" w:themeColor="text1"/>
      <w:lang w:val="fr-FR" w:eastAsia="fr-FR"/>
    </w:rPr>
    <w:tblPr>
      <w:tblStyleRowBandSize w:val="1"/>
      <w:tblStyleColBandSize w:val="1"/>
    </w:tblPr>
    <w:tcPr>
      <w:shd w:val="clear" w:color="auto" w:fill="F4F4F4" w:themeFill="accent4" w:themeFillTint="19"/>
    </w:tcPr>
    <w:tblStylePr w:type="firstRow">
      <w:rPr>
        <w:b/>
        <w:bCs/>
        <w:color w:val="0072BC" w:themeColor="background1"/>
      </w:rPr>
      <w:tblPr/>
      <w:tcPr>
        <w:tcBorders>
          <w:bottom w:val="single" w:sz="12" w:space="0" w:color="0072BC" w:themeColor="background1"/>
        </w:tcBorders>
        <w:shd w:val="clear" w:color="auto" w:fill="4C4C4C" w:themeFill="accent3" w:themeFillShade="CC"/>
      </w:tcPr>
    </w:tblStylePr>
    <w:tblStylePr w:type="lastRow">
      <w:rPr>
        <w:b/>
        <w:bCs/>
        <w:color w:val="4C4C4C" w:themeColor="accent3"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4" w:themeFillTint="3F"/>
      </w:tcPr>
    </w:tblStylePr>
    <w:tblStylePr w:type="band1Horz">
      <w:tblPr/>
      <w:tcPr>
        <w:shd w:val="clear" w:color="auto" w:fill="EAEAEA" w:themeFill="accent4" w:themeFillTint="33"/>
      </w:tcPr>
    </w:tblStylePr>
  </w:style>
  <w:style w:type="table" w:styleId="ColorfulList-Accent5">
    <w:name w:val="Colorful List Accent 5"/>
    <w:basedOn w:val="TableNormal"/>
    <w:uiPriority w:val="99"/>
    <w:semiHidden/>
    <w:rsid w:val="00014566"/>
    <w:rPr>
      <w:color w:val="000000" w:themeColor="text1"/>
      <w:lang w:val="fr-FR" w:eastAsia="fr-FR"/>
    </w:rPr>
    <w:tblPr>
      <w:tblStyleRowBandSize w:val="1"/>
      <w:tblStyleColBandSize w:val="1"/>
    </w:tblPr>
    <w:tcPr>
      <w:shd w:val="clear" w:color="auto" w:fill="EFEFEF" w:themeFill="accent5" w:themeFillTint="19"/>
    </w:tcPr>
    <w:tblStylePr w:type="firstRow">
      <w:rPr>
        <w:b/>
        <w:bCs/>
        <w:color w:val="0072BC" w:themeColor="background1"/>
      </w:rPr>
      <w:tblPr/>
      <w:tcPr>
        <w:tcBorders>
          <w:bottom w:val="single" w:sz="12" w:space="0" w:color="0072BC"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99"/>
    <w:semiHidden/>
    <w:rsid w:val="00014566"/>
    <w:rPr>
      <w:color w:val="000000" w:themeColor="text1"/>
      <w:lang w:val="fr-FR" w:eastAsia="fr-FR"/>
    </w:rPr>
    <w:tblPr>
      <w:tblStyleRowBandSize w:val="1"/>
      <w:tblStyleColBandSize w:val="1"/>
    </w:tblPr>
    <w:tcPr>
      <w:shd w:val="clear" w:color="auto" w:fill="EDEDED" w:themeFill="accent6" w:themeFillTint="19"/>
    </w:tcPr>
    <w:tblStylePr w:type="firstRow">
      <w:rPr>
        <w:b/>
        <w:bCs/>
        <w:color w:val="0072BC" w:themeColor="background1"/>
      </w:rPr>
      <w:tblPr/>
      <w:tcPr>
        <w:tcBorders>
          <w:bottom w:val="single" w:sz="12" w:space="0" w:color="0072BC"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000000" w:themeColor="text1"/>
        <w:bottom w:val="single" w:sz="4" w:space="0" w:color="000000" w:themeColor="text1"/>
        <w:right w:val="single" w:sz="4" w:space="0" w:color="000000" w:themeColor="text1"/>
        <w:insideH w:val="single" w:sz="4" w:space="0" w:color="0072BC" w:themeColor="background1"/>
        <w:insideV w:val="single" w:sz="4" w:space="0" w:color="0072BC" w:themeColor="background1"/>
      </w:tblBorders>
    </w:tblPr>
    <w:tcPr>
      <w:shd w:val="clear" w:color="auto" w:fill="E6E6E6" w:themeFill="tex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0000" w:themeFill="text1" w:themeFillShade="99"/>
      </w:tcPr>
    </w:tblStylePr>
    <w:tblStylePr w:type="firstCol">
      <w:rPr>
        <w:color w:val="0072BC"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0072BC"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0072BC" w:themeColor="accent1"/>
        <w:bottom w:val="single" w:sz="4" w:space="0" w:color="0072BC" w:themeColor="accent1"/>
        <w:right w:val="single" w:sz="4" w:space="0" w:color="0072BC" w:themeColor="accent1"/>
        <w:insideH w:val="single" w:sz="4" w:space="0" w:color="0072BC" w:themeColor="background1"/>
        <w:insideV w:val="single" w:sz="4" w:space="0" w:color="0072BC" w:themeColor="background1"/>
      </w:tblBorders>
    </w:tblPr>
    <w:tcPr>
      <w:shd w:val="clear" w:color="auto" w:fill="DFF2FF" w:themeFill="accen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4470" w:themeFill="accent1" w:themeFillShade="99"/>
      </w:tcPr>
    </w:tblStylePr>
    <w:tblStylePr w:type="firstCol">
      <w:rPr>
        <w:color w:val="0072BC" w:themeColor="background1"/>
      </w:rPr>
      <w:tblPr/>
      <w:tcPr>
        <w:tcBorders>
          <w:top w:val="nil"/>
          <w:left w:val="nil"/>
          <w:bottom w:val="nil"/>
          <w:right w:val="nil"/>
          <w:insideH w:val="single" w:sz="4" w:space="0" w:color="004470" w:themeColor="accent1" w:themeShade="99"/>
          <w:insideV w:val="nil"/>
        </w:tcBorders>
        <w:shd w:val="clear" w:color="auto" w:fill="004470" w:themeFill="accent1" w:themeFillShade="99"/>
      </w:tcPr>
    </w:tblStylePr>
    <w:tblStylePr w:type="lastCol">
      <w:rPr>
        <w:color w:val="0072BC" w:themeColor="background1"/>
      </w:rPr>
      <w:tblPr/>
      <w:tcPr>
        <w:tcBorders>
          <w:top w:val="nil"/>
          <w:left w:val="nil"/>
          <w:bottom w:val="nil"/>
          <w:right w:val="nil"/>
          <w:insideH w:val="nil"/>
          <w:insideV w:val="nil"/>
        </w:tcBorders>
        <w:shd w:val="clear" w:color="auto" w:fill="004470" w:themeFill="accent1" w:themeFillShade="99"/>
      </w:tcPr>
    </w:tblStylePr>
    <w:tblStylePr w:type="band1Vert">
      <w:tblPr/>
      <w:tcPr>
        <w:shd w:val="clear" w:color="auto" w:fill="7ECBFF" w:themeFill="accent1" w:themeFillTint="66"/>
      </w:tcPr>
    </w:tblStylePr>
    <w:tblStylePr w:type="band1Horz">
      <w:tblPr/>
      <w:tcPr>
        <w:shd w:val="clear" w:color="auto" w:fill="5EBF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C00000" w:themeColor="accent2"/>
        <w:bottom w:val="single" w:sz="4" w:space="0" w:color="C00000" w:themeColor="accent2"/>
        <w:right w:val="single" w:sz="4" w:space="0" w:color="C00000" w:themeColor="accent2"/>
        <w:insideH w:val="single" w:sz="4" w:space="0" w:color="0072BC" w:themeColor="background1"/>
        <w:insideV w:val="single" w:sz="4" w:space="0" w:color="0072BC" w:themeColor="background1"/>
      </w:tblBorders>
    </w:tblPr>
    <w:tcPr>
      <w:shd w:val="clear" w:color="auto" w:fill="FFDFDF" w:themeFill="accent2"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730000" w:themeFill="accent2" w:themeFillShade="99"/>
      </w:tcPr>
    </w:tblStylePr>
    <w:tblStylePr w:type="firstCol">
      <w:rPr>
        <w:color w:val="0072BC" w:themeColor="background1"/>
      </w:rPr>
      <w:tblPr/>
      <w:tcPr>
        <w:tcBorders>
          <w:top w:val="nil"/>
          <w:left w:val="nil"/>
          <w:bottom w:val="nil"/>
          <w:right w:val="nil"/>
          <w:insideH w:val="single" w:sz="4" w:space="0" w:color="730000" w:themeColor="accent2" w:themeShade="99"/>
          <w:insideV w:val="nil"/>
        </w:tcBorders>
        <w:shd w:val="clear" w:color="auto" w:fill="730000" w:themeFill="accent2" w:themeFillShade="99"/>
      </w:tcPr>
    </w:tblStylePr>
    <w:tblStylePr w:type="lastCol">
      <w:rPr>
        <w:color w:val="0072BC" w:themeColor="background1"/>
      </w:rPr>
      <w:tblPr/>
      <w:tcPr>
        <w:tcBorders>
          <w:top w:val="nil"/>
          <w:left w:val="nil"/>
          <w:bottom w:val="nil"/>
          <w:right w:val="nil"/>
          <w:insideH w:val="nil"/>
          <w:insideV w:val="nil"/>
        </w:tcBorders>
        <w:shd w:val="clear" w:color="auto" w:fill="730000" w:themeFill="accent2" w:themeFillShade="99"/>
      </w:tcPr>
    </w:tblStylePr>
    <w:tblStylePr w:type="band1Vert">
      <w:tblPr/>
      <w:tcPr>
        <w:shd w:val="clear" w:color="auto" w:fill="FF7F7F" w:themeFill="accent2" w:themeFillTint="66"/>
      </w:tcPr>
    </w:tblStylePr>
    <w:tblStylePr w:type="band1Horz">
      <w:tblPr/>
      <w:tcPr>
        <w:shd w:val="clear" w:color="auto" w:fill="FF606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9"/>
    <w:semiHidden/>
    <w:rsid w:val="00014566"/>
    <w:rPr>
      <w:color w:val="000000" w:themeColor="text1"/>
      <w:lang w:val="fr-FR" w:eastAsia="fr-FR"/>
    </w:rPr>
    <w:tblPr>
      <w:tblStyleRowBandSize w:val="1"/>
      <w:tblStyleColBandSize w:val="1"/>
      <w:tblBorders>
        <w:top w:val="single" w:sz="24" w:space="0" w:color="969696" w:themeColor="accent4"/>
        <w:left w:val="single" w:sz="4" w:space="0" w:color="5F5F5F" w:themeColor="accent3"/>
        <w:bottom w:val="single" w:sz="4" w:space="0" w:color="5F5F5F" w:themeColor="accent3"/>
        <w:right w:val="single" w:sz="4" w:space="0" w:color="5F5F5F" w:themeColor="accent3"/>
        <w:insideH w:val="single" w:sz="4" w:space="0" w:color="0072BC" w:themeColor="background1"/>
        <w:insideV w:val="single" w:sz="4" w:space="0" w:color="0072BC" w:themeColor="background1"/>
      </w:tblBorders>
    </w:tblPr>
    <w:tcPr>
      <w:shd w:val="clear" w:color="auto" w:fill="EFEFEF" w:themeFill="accent3" w:themeFillTint="19"/>
    </w:tcPr>
    <w:tblStylePr w:type="firstRow">
      <w:rPr>
        <w:b/>
        <w:bCs/>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3" w:themeFillShade="99"/>
      </w:tcPr>
    </w:tblStylePr>
    <w:tblStylePr w:type="firstCol">
      <w:rPr>
        <w:color w:val="0072BC" w:themeColor="background1"/>
      </w:rPr>
      <w:tblPr/>
      <w:tcPr>
        <w:tcBorders>
          <w:top w:val="nil"/>
          <w:left w:val="nil"/>
          <w:bottom w:val="nil"/>
          <w:right w:val="nil"/>
          <w:insideH w:val="single" w:sz="4" w:space="0" w:color="393939" w:themeColor="accent3" w:themeShade="99"/>
          <w:insideV w:val="nil"/>
        </w:tcBorders>
        <w:shd w:val="clear" w:color="auto" w:fill="393939" w:themeFill="accent3"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3" w:themeFillShade="99"/>
      </w:tcPr>
    </w:tblStylePr>
    <w:tblStylePr w:type="band1Vert">
      <w:tblPr/>
      <w:tcPr>
        <w:shd w:val="clear" w:color="auto" w:fill="BFBFBF" w:themeFill="accent3" w:themeFillTint="66"/>
      </w:tcPr>
    </w:tblStylePr>
    <w:tblStylePr w:type="band1Horz">
      <w:tblPr/>
      <w:tcPr>
        <w:shd w:val="clear" w:color="auto" w:fill="AFAFAF" w:themeFill="accent3" w:themeFillTint="7F"/>
      </w:tcPr>
    </w:tblStylePr>
  </w:style>
  <w:style w:type="table" w:styleId="ColorfulShading-Accent4">
    <w:name w:val="Colorful Shading Accent 4"/>
    <w:basedOn w:val="TableNormal"/>
    <w:uiPriority w:val="99"/>
    <w:semiHidden/>
    <w:rsid w:val="00014566"/>
    <w:rPr>
      <w:color w:val="000000" w:themeColor="text1"/>
      <w:lang w:val="fr-FR" w:eastAsia="fr-FR"/>
    </w:rPr>
    <w:tblPr>
      <w:tblStyleRowBandSize w:val="1"/>
      <w:tblStyleColBandSize w:val="1"/>
      <w:tblBorders>
        <w:top w:val="single" w:sz="24" w:space="0" w:color="5F5F5F" w:themeColor="accent3"/>
        <w:left w:val="single" w:sz="4" w:space="0" w:color="969696" w:themeColor="accent4"/>
        <w:bottom w:val="single" w:sz="4" w:space="0" w:color="969696" w:themeColor="accent4"/>
        <w:right w:val="single" w:sz="4" w:space="0" w:color="969696" w:themeColor="accent4"/>
        <w:insideH w:val="single" w:sz="4" w:space="0" w:color="0072BC" w:themeColor="background1"/>
        <w:insideV w:val="single" w:sz="4" w:space="0" w:color="0072BC" w:themeColor="background1"/>
      </w:tblBorders>
    </w:tblPr>
    <w:tcPr>
      <w:shd w:val="clear" w:color="auto" w:fill="F4F4F4" w:themeFill="accent4" w:themeFillTint="19"/>
    </w:tcPr>
    <w:tblStylePr w:type="firstRow">
      <w:rPr>
        <w:b/>
        <w:bCs/>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5A5A5A" w:themeFill="accent4" w:themeFillShade="99"/>
      </w:tcPr>
    </w:tblStylePr>
    <w:tblStylePr w:type="firstCol">
      <w:rPr>
        <w:color w:val="0072BC" w:themeColor="background1"/>
      </w:rPr>
      <w:tblPr/>
      <w:tcPr>
        <w:tcBorders>
          <w:top w:val="nil"/>
          <w:left w:val="nil"/>
          <w:bottom w:val="nil"/>
          <w:right w:val="nil"/>
          <w:insideH w:val="single" w:sz="4" w:space="0" w:color="5A5A5A" w:themeColor="accent4" w:themeShade="99"/>
          <w:insideV w:val="nil"/>
        </w:tcBorders>
        <w:shd w:val="clear" w:color="auto" w:fill="5A5A5A" w:themeFill="accent4" w:themeFillShade="99"/>
      </w:tcPr>
    </w:tblStylePr>
    <w:tblStylePr w:type="lastCol">
      <w:rPr>
        <w:color w:val="0072BC" w:themeColor="background1"/>
      </w:rPr>
      <w:tblPr/>
      <w:tcPr>
        <w:tcBorders>
          <w:top w:val="nil"/>
          <w:left w:val="nil"/>
          <w:bottom w:val="nil"/>
          <w:right w:val="nil"/>
          <w:insideH w:val="nil"/>
          <w:insideV w:val="nil"/>
        </w:tcBorders>
        <w:shd w:val="clear" w:color="auto" w:fill="5A5A5A" w:themeFill="accent4" w:themeFillShade="99"/>
      </w:tcPr>
    </w:tblStylePr>
    <w:tblStylePr w:type="band1Vert">
      <w:tblPr/>
      <w:tcPr>
        <w:shd w:val="clear" w:color="auto" w:fill="D5D5D5" w:themeFill="accent4" w:themeFillTint="66"/>
      </w:tcPr>
    </w:tblStylePr>
    <w:tblStylePr w:type="band1Horz">
      <w:tblPr/>
      <w:tcPr>
        <w:shd w:val="clear" w:color="auto" w:fill="CACACA"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9"/>
    <w:semiHidden/>
    <w:rsid w:val="00014566"/>
    <w:rPr>
      <w:color w:val="000000" w:themeColor="text1"/>
      <w:lang w:val="fr-FR" w:eastAsia="fr-FR"/>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0072BC" w:themeColor="background1"/>
        <w:insideV w:val="single" w:sz="4" w:space="0" w:color="0072BC"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5" w:themeFillShade="99"/>
      </w:tcPr>
    </w:tblStylePr>
    <w:tblStylePr w:type="firstCol">
      <w:rPr>
        <w:color w:val="0072BC"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9"/>
    <w:semiHidden/>
    <w:rsid w:val="00014566"/>
    <w:rPr>
      <w:color w:val="000000" w:themeColor="text1"/>
      <w:lang w:val="fr-FR" w:eastAsia="fr-FR"/>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0072BC" w:themeColor="background1"/>
        <w:insideV w:val="single" w:sz="4" w:space="0" w:color="0072BC"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2E2E2E" w:themeFill="accent6" w:themeFillShade="99"/>
      </w:tcPr>
    </w:tblStylePr>
    <w:tblStylePr w:type="firstCol">
      <w:rPr>
        <w:color w:val="0072BC"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0072BC"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99"/>
    <w:semiHidden/>
    <w:rsid w:val="00014566"/>
    <w:rPr>
      <w:color w:val="0072BC" w:themeColor="background1"/>
      <w:lang w:val="fr-FR" w:eastAsia="fr-FR"/>
    </w:rPr>
    <w:tblPr>
      <w:tblStyleRowBandSize w:val="1"/>
      <w:tblStyleColBandSize w:val="1"/>
    </w:tblPr>
    <w:tcPr>
      <w:shd w:val="clear" w:color="auto" w:fill="000000" w:themeFill="tex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0072BC" w:themeColor="background1"/>
          <w:insideH w:val="nil"/>
          <w:insideV w:val="nil"/>
        </w:tcBorders>
        <w:shd w:val="clear" w:color="auto" w:fill="000000" w:themeFill="text1" w:themeFillShade="BF"/>
      </w:tcPr>
    </w:tblStylePr>
    <w:tblStylePr w:type="lastCol">
      <w:tblPr/>
      <w:tcPr>
        <w:tcBorders>
          <w:top w:val="nil"/>
          <w:left w:val="single" w:sz="18" w:space="0" w:color="0072BC"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9"/>
    <w:semiHidden/>
    <w:rsid w:val="00014566"/>
    <w:rPr>
      <w:color w:val="0072BC" w:themeColor="background1"/>
      <w:lang w:val="fr-FR" w:eastAsia="fr-FR"/>
    </w:rPr>
    <w:tblPr>
      <w:tblStyleRowBandSize w:val="1"/>
      <w:tblStyleColBandSize w:val="1"/>
    </w:tblPr>
    <w:tcPr>
      <w:shd w:val="clear" w:color="auto" w:fill="0072BC" w:themeFill="accen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385D" w:themeFill="accent1" w:themeFillShade="7F"/>
      </w:tcPr>
    </w:tblStylePr>
    <w:tblStylePr w:type="firstCol">
      <w:tblPr/>
      <w:tcPr>
        <w:tcBorders>
          <w:top w:val="nil"/>
          <w:left w:val="nil"/>
          <w:bottom w:val="nil"/>
          <w:right w:val="single" w:sz="18" w:space="0" w:color="0072BC" w:themeColor="background1"/>
          <w:insideH w:val="nil"/>
          <w:insideV w:val="nil"/>
        </w:tcBorders>
        <w:shd w:val="clear" w:color="auto" w:fill="00548C" w:themeFill="accent1" w:themeFillShade="BF"/>
      </w:tcPr>
    </w:tblStylePr>
    <w:tblStylePr w:type="lastCol">
      <w:tblPr/>
      <w:tcPr>
        <w:tcBorders>
          <w:top w:val="nil"/>
          <w:left w:val="single" w:sz="18" w:space="0" w:color="0072BC" w:themeColor="background1"/>
          <w:bottom w:val="nil"/>
          <w:right w:val="nil"/>
          <w:insideH w:val="nil"/>
          <w:insideV w:val="nil"/>
        </w:tcBorders>
        <w:shd w:val="clear" w:color="auto" w:fill="00548C" w:themeFill="accent1" w:themeFillShade="BF"/>
      </w:tcPr>
    </w:tblStylePr>
    <w:tblStylePr w:type="band1Vert">
      <w:tblPr/>
      <w:tcPr>
        <w:tcBorders>
          <w:top w:val="nil"/>
          <w:left w:val="nil"/>
          <w:bottom w:val="nil"/>
          <w:right w:val="nil"/>
          <w:insideH w:val="nil"/>
          <w:insideV w:val="nil"/>
        </w:tcBorders>
        <w:shd w:val="clear" w:color="auto" w:fill="00548C" w:themeFill="accent1" w:themeFillShade="BF"/>
      </w:tcPr>
    </w:tblStylePr>
    <w:tblStylePr w:type="band1Horz">
      <w:tblPr/>
      <w:tcPr>
        <w:tcBorders>
          <w:top w:val="nil"/>
          <w:left w:val="nil"/>
          <w:bottom w:val="nil"/>
          <w:right w:val="nil"/>
          <w:insideH w:val="nil"/>
          <w:insideV w:val="nil"/>
        </w:tcBorders>
        <w:shd w:val="clear" w:color="auto" w:fill="00548C" w:themeFill="accent1" w:themeFillShade="BF"/>
      </w:tcPr>
    </w:tblStylePr>
  </w:style>
  <w:style w:type="table" w:styleId="DarkList-Accent2">
    <w:name w:val="Dark List Accent 2"/>
    <w:basedOn w:val="TableNormal"/>
    <w:uiPriority w:val="99"/>
    <w:semiHidden/>
    <w:rsid w:val="00014566"/>
    <w:rPr>
      <w:color w:val="0072BC" w:themeColor="background1"/>
      <w:lang w:val="fr-FR" w:eastAsia="fr-FR"/>
    </w:rPr>
    <w:tblPr>
      <w:tblStyleRowBandSize w:val="1"/>
      <w:tblStyleColBandSize w:val="1"/>
    </w:tblPr>
    <w:tcPr>
      <w:shd w:val="clear" w:color="auto" w:fill="C00000" w:themeFill="accent2"/>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5F0000" w:themeFill="accent2" w:themeFillShade="7F"/>
      </w:tcPr>
    </w:tblStylePr>
    <w:tblStylePr w:type="firstCol">
      <w:tblPr/>
      <w:tcPr>
        <w:tcBorders>
          <w:top w:val="nil"/>
          <w:left w:val="nil"/>
          <w:bottom w:val="nil"/>
          <w:right w:val="single" w:sz="18" w:space="0" w:color="0072BC" w:themeColor="background1"/>
          <w:insideH w:val="nil"/>
          <w:insideV w:val="nil"/>
        </w:tcBorders>
        <w:shd w:val="clear" w:color="auto" w:fill="8F0000" w:themeFill="accent2" w:themeFillShade="BF"/>
      </w:tcPr>
    </w:tblStylePr>
    <w:tblStylePr w:type="lastCol">
      <w:tblPr/>
      <w:tcPr>
        <w:tcBorders>
          <w:top w:val="nil"/>
          <w:left w:val="single" w:sz="18" w:space="0" w:color="0072BC" w:themeColor="background1"/>
          <w:bottom w:val="nil"/>
          <w:right w:val="nil"/>
          <w:insideH w:val="nil"/>
          <w:insideV w:val="nil"/>
        </w:tcBorders>
        <w:shd w:val="clear" w:color="auto" w:fill="8F0000" w:themeFill="accent2" w:themeFillShade="BF"/>
      </w:tcPr>
    </w:tblStylePr>
    <w:tblStylePr w:type="band1Vert">
      <w:tblPr/>
      <w:tcPr>
        <w:tcBorders>
          <w:top w:val="nil"/>
          <w:left w:val="nil"/>
          <w:bottom w:val="nil"/>
          <w:right w:val="nil"/>
          <w:insideH w:val="nil"/>
          <w:insideV w:val="nil"/>
        </w:tcBorders>
        <w:shd w:val="clear" w:color="auto" w:fill="8F0000" w:themeFill="accent2" w:themeFillShade="BF"/>
      </w:tcPr>
    </w:tblStylePr>
    <w:tblStylePr w:type="band1Horz">
      <w:tblPr/>
      <w:tcPr>
        <w:tcBorders>
          <w:top w:val="nil"/>
          <w:left w:val="nil"/>
          <w:bottom w:val="nil"/>
          <w:right w:val="nil"/>
          <w:insideH w:val="nil"/>
          <w:insideV w:val="nil"/>
        </w:tcBorders>
        <w:shd w:val="clear" w:color="auto" w:fill="8F0000" w:themeFill="accent2" w:themeFillShade="BF"/>
      </w:tcPr>
    </w:tblStylePr>
  </w:style>
  <w:style w:type="table" w:styleId="DarkList-Accent3">
    <w:name w:val="Dark List Accent 3"/>
    <w:basedOn w:val="TableNormal"/>
    <w:uiPriority w:val="99"/>
    <w:semiHidden/>
    <w:rsid w:val="00014566"/>
    <w:rPr>
      <w:color w:val="0072BC" w:themeColor="background1"/>
      <w:lang w:val="fr-FR" w:eastAsia="fr-FR"/>
    </w:rPr>
    <w:tblPr>
      <w:tblStyleRowBandSize w:val="1"/>
      <w:tblStyleColBandSize w:val="1"/>
    </w:tblPr>
    <w:tcPr>
      <w:shd w:val="clear" w:color="auto" w:fill="5F5F5F" w:themeFill="accent3"/>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3"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3"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3" w:themeFillShade="BF"/>
      </w:tcPr>
    </w:tblStylePr>
    <w:tblStylePr w:type="band1Vert">
      <w:tblPr/>
      <w:tcPr>
        <w:tcBorders>
          <w:top w:val="nil"/>
          <w:left w:val="nil"/>
          <w:bottom w:val="nil"/>
          <w:right w:val="nil"/>
          <w:insideH w:val="nil"/>
          <w:insideV w:val="nil"/>
        </w:tcBorders>
        <w:shd w:val="clear" w:color="auto" w:fill="474747" w:themeFill="accent3" w:themeFillShade="BF"/>
      </w:tcPr>
    </w:tblStylePr>
    <w:tblStylePr w:type="band1Horz">
      <w:tblPr/>
      <w:tcPr>
        <w:tcBorders>
          <w:top w:val="nil"/>
          <w:left w:val="nil"/>
          <w:bottom w:val="nil"/>
          <w:right w:val="nil"/>
          <w:insideH w:val="nil"/>
          <w:insideV w:val="nil"/>
        </w:tcBorders>
        <w:shd w:val="clear" w:color="auto" w:fill="474747" w:themeFill="accent3" w:themeFillShade="BF"/>
      </w:tcPr>
    </w:tblStylePr>
  </w:style>
  <w:style w:type="table" w:styleId="DarkList-Accent4">
    <w:name w:val="Dark List Accent 4"/>
    <w:basedOn w:val="TableNormal"/>
    <w:uiPriority w:val="99"/>
    <w:semiHidden/>
    <w:rsid w:val="00014566"/>
    <w:rPr>
      <w:color w:val="0072BC" w:themeColor="background1"/>
      <w:lang w:val="fr-FR" w:eastAsia="fr-FR"/>
    </w:rPr>
    <w:tblPr>
      <w:tblStyleRowBandSize w:val="1"/>
      <w:tblStyleColBandSize w:val="1"/>
    </w:tblPr>
    <w:tcPr>
      <w:shd w:val="clear" w:color="auto" w:fill="969696" w:themeFill="accent4"/>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4A4A4A" w:themeFill="accent4" w:themeFillShade="7F"/>
      </w:tcPr>
    </w:tblStylePr>
    <w:tblStylePr w:type="firstCol">
      <w:tblPr/>
      <w:tcPr>
        <w:tcBorders>
          <w:top w:val="nil"/>
          <w:left w:val="nil"/>
          <w:bottom w:val="nil"/>
          <w:right w:val="single" w:sz="18" w:space="0" w:color="0072BC" w:themeColor="background1"/>
          <w:insideH w:val="nil"/>
          <w:insideV w:val="nil"/>
        </w:tcBorders>
        <w:shd w:val="clear" w:color="auto" w:fill="707070" w:themeFill="accent4" w:themeFillShade="BF"/>
      </w:tcPr>
    </w:tblStylePr>
    <w:tblStylePr w:type="lastCol">
      <w:tblPr/>
      <w:tcPr>
        <w:tcBorders>
          <w:top w:val="nil"/>
          <w:left w:val="single" w:sz="18" w:space="0" w:color="0072BC" w:themeColor="background1"/>
          <w:bottom w:val="nil"/>
          <w:right w:val="nil"/>
          <w:insideH w:val="nil"/>
          <w:insideV w:val="nil"/>
        </w:tcBorders>
        <w:shd w:val="clear" w:color="auto" w:fill="707070" w:themeFill="accent4" w:themeFillShade="BF"/>
      </w:tcPr>
    </w:tblStylePr>
    <w:tblStylePr w:type="band1Vert">
      <w:tblPr/>
      <w:tcPr>
        <w:tcBorders>
          <w:top w:val="nil"/>
          <w:left w:val="nil"/>
          <w:bottom w:val="nil"/>
          <w:right w:val="nil"/>
          <w:insideH w:val="nil"/>
          <w:insideV w:val="nil"/>
        </w:tcBorders>
        <w:shd w:val="clear" w:color="auto" w:fill="707070" w:themeFill="accent4" w:themeFillShade="BF"/>
      </w:tcPr>
    </w:tblStylePr>
    <w:tblStylePr w:type="band1Horz">
      <w:tblPr/>
      <w:tcPr>
        <w:tcBorders>
          <w:top w:val="nil"/>
          <w:left w:val="nil"/>
          <w:bottom w:val="nil"/>
          <w:right w:val="nil"/>
          <w:insideH w:val="nil"/>
          <w:insideV w:val="nil"/>
        </w:tcBorders>
        <w:shd w:val="clear" w:color="auto" w:fill="707070" w:themeFill="accent4" w:themeFillShade="BF"/>
      </w:tcPr>
    </w:tblStylePr>
  </w:style>
  <w:style w:type="table" w:styleId="DarkList-Accent5">
    <w:name w:val="Dark List Accent 5"/>
    <w:basedOn w:val="TableNormal"/>
    <w:uiPriority w:val="99"/>
    <w:semiHidden/>
    <w:rsid w:val="00014566"/>
    <w:rPr>
      <w:color w:val="0072BC" w:themeColor="background1"/>
      <w:lang w:val="fr-FR" w:eastAsia="fr-FR"/>
    </w:rPr>
    <w:tblPr>
      <w:tblStyleRowBandSize w:val="1"/>
      <w:tblStyleColBandSize w:val="1"/>
    </w:tblPr>
    <w:tcPr>
      <w:shd w:val="clear" w:color="auto" w:fill="5F5F5F" w:themeFill="accent5"/>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5"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99"/>
    <w:semiHidden/>
    <w:rsid w:val="00014566"/>
    <w:rPr>
      <w:color w:val="0072BC" w:themeColor="background1"/>
      <w:lang w:val="fr-FR" w:eastAsia="fr-FR"/>
    </w:rPr>
    <w:tblPr>
      <w:tblStyleRowBandSize w:val="1"/>
      <w:tblStyleColBandSize w:val="1"/>
    </w:tblPr>
    <w:tcPr>
      <w:shd w:val="clear" w:color="auto" w:fill="4D4D4D" w:themeFill="accent6"/>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0072BC" w:themeColor="background1"/>
          <w:insideH w:val="nil"/>
          <w:insideV w:val="nil"/>
        </w:tcBorders>
        <w:shd w:val="clear" w:color="auto" w:fill="393939" w:themeFill="accent6" w:themeFillShade="BF"/>
      </w:tcPr>
    </w:tblStylePr>
    <w:tblStylePr w:type="lastCol">
      <w:tblPr/>
      <w:tcPr>
        <w:tcBorders>
          <w:top w:val="nil"/>
          <w:left w:val="single" w:sz="18" w:space="0" w:color="0072BC"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9"/>
    <w:semiHidden/>
    <w:rsid w:val="00014566"/>
  </w:style>
  <w:style w:type="character" w:customStyle="1" w:styleId="DateChar">
    <w:name w:val="Date Char"/>
    <w:basedOn w:val="DefaultParagraphFont"/>
    <w:link w:val="Date"/>
    <w:uiPriority w:val="99"/>
    <w:semiHidden/>
    <w:rsid w:val="00014566"/>
    <w:rPr>
      <w:rFonts w:eastAsiaTheme="minorEastAsia"/>
      <w:sz w:val="24"/>
    </w:rPr>
  </w:style>
  <w:style w:type="paragraph" w:styleId="E-mailSignature">
    <w:name w:val="E-mail Signature"/>
    <w:basedOn w:val="Normal"/>
    <w:link w:val="E-mailSignatureChar"/>
    <w:uiPriority w:val="99"/>
    <w:semiHidden/>
    <w:rsid w:val="00014566"/>
  </w:style>
  <w:style w:type="character" w:customStyle="1" w:styleId="E-mailSignatureChar">
    <w:name w:val="E-mail Signature Char"/>
    <w:basedOn w:val="DefaultParagraphFont"/>
    <w:link w:val="E-mailSignature"/>
    <w:uiPriority w:val="99"/>
    <w:semiHidden/>
    <w:rsid w:val="00014566"/>
    <w:rPr>
      <w:rFonts w:eastAsiaTheme="minorEastAsia"/>
      <w:sz w:val="24"/>
    </w:rPr>
  </w:style>
  <w:style w:type="paragraph" w:styleId="EnvelopeAddress">
    <w:name w:val="envelope address"/>
    <w:basedOn w:val="Normal"/>
    <w:uiPriority w:val="99"/>
    <w:semiHidden/>
    <w:rsid w:val="00014566"/>
    <w:pPr>
      <w:framePr w:w="7938" w:h="1985" w:hRule="exact" w:hSpace="141" w:wrap="auto" w:hAnchor="page" w:xAlign="center" w:yAlign="bottom"/>
      <w:ind w:left="2835"/>
    </w:pPr>
    <w:rPr>
      <w:rFonts w:asciiTheme="majorHAnsi" w:eastAsiaTheme="majorEastAsia" w:hAnsiTheme="majorHAnsi" w:cstheme="majorBidi"/>
      <w:szCs w:val="24"/>
    </w:rPr>
  </w:style>
  <w:style w:type="paragraph" w:styleId="EnvelopeReturn">
    <w:name w:val="envelope return"/>
    <w:basedOn w:val="Normal"/>
    <w:uiPriority w:val="99"/>
    <w:semiHidden/>
    <w:rsid w:val="00014566"/>
    <w:rPr>
      <w:rFonts w:asciiTheme="majorHAnsi" w:eastAsiaTheme="majorEastAsia" w:hAnsiTheme="majorHAnsi" w:cstheme="majorBidi"/>
      <w:sz w:val="20"/>
      <w:szCs w:val="20"/>
    </w:rPr>
  </w:style>
  <w:style w:type="character" w:styleId="HTMLAcronym">
    <w:name w:val="HTML Acronym"/>
    <w:basedOn w:val="DefaultParagraphFont"/>
    <w:uiPriority w:val="99"/>
    <w:semiHidden/>
    <w:rsid w:val="00014566"/>
  </w:style>
  <w:style w:type="paragraph" w:styleId="HTMLAddress">
    <w:name w:val="HTML Address"/>
    <w:basedOn w:val="Normal"/>
    <w:link w:val="HTMLAddressChar"/>
    <w:uiPriority w:val="99"/>
    <w:semiHidden/>
    <w:rsid w:val="00014566"/>
    <w:rPr>
      <w:i/>
      <w:iCs/>
    </w:rPr>
  </w:style>
  <w:style w:type="character" w:customStyle="1" w:styleId="HTMLAddressChar">
    <w:name w:val="HTML Address Char"/>
    <w:basedOn w:val="DefaultParagraphFont"/>
    <w:link w:val="HTMLAddress"/>
    <w:uiPriority w:val="99"/>
    <w:semiHidden/>
    <w:rsid w:val="00014566"/>
    <w:rPr>
      <w:rFonts w:eastAsiaTheme="minorEastAsia"/>
      <w:i/>
      <w:iCs/>
      <w:sz w:val="24"/>
    </w:rPr>
  </w:style>
  <w:style w:type="character" w:styleId="HTMLCite">
    <w:name w:val="HTML Cite"/>
    <w:basedOn w:val="DefaultParagraphFont"/>
    <w:uiPriority w:val="99"/>
    <w:semiHidden/>
    <w:rsid w:val="00014566"/>
    <w:rPr>
      <w:i/>
      <w:iCs/>
    </w:rPr>
  </w:style>
  <w:style w:type="character" w:styleId="HTMLCode">
    <w:name w:val="HTML Code"/>
    <w:basedOn w:val="DefaultParagraphFont"/>
    <w:uiPriority w:val="99"/>
    <w:semiHidden/>
    <w:rsid w:val="00014566"/>
    <w:rPr>
      <w:rFonts w:ascii="Consolas" w:hAnsi="Consolas" w:cs="Consolas"/>
      <w:sz w:val="20"/>
      <w:szCs w:val="20"/>
    </w:rPr>
  </w:style>
  <w:style w:type="character" w:styleId="HTMLDefinition">
    <w:name w:val="HTML Definition"/>
    <w:basedOn w:val="DefaultParagraphFont"/>
    <w:uiPriority w:val="99"/>
    <w:semiHidden/>
    <w:rsid w:val="00014566"/>
    <w:rPr>
      <w:i/>
      <w:iCs/>
    </w:rPr>
  </w:style>
  <w:style w:type="character" w:styleId="HTMLKeyboard">
    <w:name w:val="HTML Keyboard"/>
    <w:basedOn w:val="DefaultParagraphFont"/>
    <w:uiPriority w:val="99"/>
    <w:semiHidden/>
    <w:rsid w:val="00014566"/>
    <w:rPr>
      <w:rFonts w:ascii="Consolas" w:hAnsi="Consolas" w:cs="Consolas"/>
      <w:sz w:val="20"/>
      <w:szCs w:val="20"/>
    </w:rPr>
  </w:style>
  <w:style w:type="paragraph" w:styleId="HTMLPreformatted">
    <w:name w:val="HTML Preformatted"/>
    <w:basedOn w:val="Normal"/>
    <w:link w:val="HTMLPreformattedChar"/>
    <w:uiPriority w:val="99"/>
    <w:semiHidden/>
    <w:rsid w:val="00014566"/>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14566"/>
    <w:rPr>
      <w:rFonts w:ascii="Consolas" w:eastAsiaTheme="minorEastAsia" w:hAnsi="Consolas" w:cs="Consolas"/>
      <w:sz w:val="20"/>
      <w:szCs w:val="20"/>
    </w:rPr>
  </w:style>
  <w:style w:type="character" w:styleId="HTMLSample">
    <w:name w:val="HTML Sample"/>
    <w:basedOn w:val="DefaultParagraphFont"/>
    <w:uiPriority w:val="99"/>
    <w:semiHidden/>
    <w:rsid w:val="00014566"/>
    <w:rPr>
      <w:rFonts w:ascii="Consolas" w:hAnsi="Consolas" w:cs="Consolas"/>
      <w:sz w:val="24"/>
      <w:szCs w:val="24"/>
    </w:rPr>
  </w:style>
  <w:style w:type="character" w:styleId="HTMLTypewriter">
    <w:name w:val="HTML Typewriter"/>
    <w:basedOn w:val="DefaultParagraphFont"/>
    <w:uiPriority w:val="99"/>
    <w:semiHidden/>
    <w:rsid w:val="00014566"/>
    <w:rPr>
      <w:rFonts w:ascii="Consolas" w:hAnsi="Consolas" w:cs="Consolas"/>
      <w:sz w:val="20"/>
      <w:szCs w:val="20"/>
    </w:rPr>
  </w:style>
  <w:style w:type="character" w:styleId="HTMLVariable">
    <w:name w:val="HTML Variable"/>
    <w:basedOn w:val="DefaultParagraphFont"/>
    <w:uiPriority w:val="99"/>
    <w:semiHidden/>
    <w:rsid w:val="00014566"/>
    <w:rPr>
      <w:i/>
      <w:iCs/>
    </w:rPr>
  </w:style>
  <w:style w:type="paragraph" w:styleId="Index1">
    <w:name w:val="index 1"/>
    <w:basedOn w:val="Normal"/>
    <w:next w:val="Normal"/>
    <w:autoRedefine/>
    <w:uiPriority w:val="99"/>
    <w:semiHidden/>
    <w:rsid w:val="00014566"/>
    <w:pPr>
      <w:ind w:left="240" w:hanging="240"/>
    </w:pPr>
  </w:style>
  <w:style w:type="paragraph" w:styleId="Index2">
    <w:name w:val="index 2"/>
    <w:basedOn w:val="Normal"/>
    <w:next w:val="Normal"/>
    <w:autoRedefine/>
    <w:uiPriority w:val="99"/>
    <w:semiHidden/>
    <w:rsid w:val="00014566"/>
    <w:pPr>
      <w:ind w:left="480" w:hanging="240"/>
    </w:pPr>
  </w:style>
  <w:style w:type="paragraph" w:styleId="Index3">
    <w:name w:val="index 3"/>
    <w:basedOn w:val="Normal"/>
    <w:next w:val="Normal"/>
    <w:autoRedefine/>
    <w:uiPriority w:val="99"/>
    <w:semiHidden/>
    <w:rsid w:val="00014566"/>
    <w:pPr>
      <w:ind w:left="720" w:hanging="240"/>
    </w:pPr>
  </w:style>
  <w:style w:type="paragraph" w:styleId="Index4">
    <w:name w:val="index 4"/>
    <w:basedOn w:val="Normal"/>
    <w:next w:val="Normal"/>
    <w:autoRedefine/>
    <w:uiPriority w:val="99"/>
    <w:semiHidden/>
    <w:rsid w:val="00014566"/>
    <w:pPr>
      <w:ind w:left="960" w:hanging="240"/>
    </w:pPr>
  </w:style>
  <w:style w:type="paragraph" w:styleId="Index5">
    <w:name w:val="index 5"/>
    <w:basedOn w:val="Normal"/>
    <w:next w:val="Normal"/>
    <w:autoRedefine/>
    <w:uiPriority w:val="99"/>
    <w:semiHidden/>
    <w:rsid w:val="00014566"/>
    <w:pPr>
      <w:ind w:left="1200" w:hanging="240"/>
    </w:pPr>
  </w:style>
  <w:style w:type="paragraph" w:styleId="Index6">
    <w:name w:val="index 6"/>
    <w:basedOn w:val="Normal"/>
    <w:next w:val="Normal"/>
    <w:autoRedefine/>
    <w:uiPriority w:val="99"/>
    <w:semiHidden/>
    <w:rsid w:val="00014566"/>
    <w:pPr>
      <w:ind w:left="1440" w:hanging="240"/>
    </w:pPr>
  </w:style>
  <w:style w:type="paragraph" w:styleId="Index7">
    <w:name w:val="index 7"/>
    <w:basedOn w:val="Normal"/>
    <w:next w:val="Normal"/>
    <w:autoRedefine/>
    <w:uiPriority w:val="99"/>
    <w:semiHidden/>
    <w:rsid w:val="00014566"/>
    <w:pPr>
      <w:ind w:left="1680" w:hanging="240"/>
    </w:pPr>
  </w:style>
  <w:style w:type="paragraph" w:styleId="Index8">
    <w:name w:val="index 8"/>
    <w:basedOn w:val="Normal"/>
    <w:next w:val="Normal"/>
    <w:autoRedefine/>
    <w:uiPriority w:val="99"/>
    <w:semiHidden/>
    <w:rsid w:val="00014566"/>
    <w:pPr>
      <w:ind w:left="1920" w:hanging="240"/>
    </w:pPr>
  </w:style>
  <w:style w:type="paragraph" w:styleId="Index9">
    <w:name w:val="index 9"/>
    <w:basedOn w:val="Normal"/>
    <w:next w:val="Normal"/>
    <w:autoRedefine/>
    <w:uiPriority w:val="99"/>
    <w:semiHidden/>
    <w:rsid w:val="00014566"/>
    <w:pPr>
      <w:ind w:left="2160" w:hanging="240"/>
    </w:pPr>
  </w:style>
  <w:style w:type="paragraph" w:styleId="IndexHeading">
    <w:name w:val="index heading"/>
    <w:basedOn w:val="Normal"/>
    <w:next w:val="Index1"/>
    <w:uiPriority w:val="99"/>
    <w:semiHidden/>
    <w:rsid w:val="00014566"/>
    <w:rPr>
      <w:rFonts w:asciiTheme="majorHAnsi" w:eastAsiaTheme="majorEastAsia" w:hAnsiTheme="majorHAnsi" w:cstheme="majorBidi"/>
      <w:b/>
      <w:bCs/>
    </w:rPr>
  </w:style>
  <w:style w:type="table" w:styleId="LightGrid">
    <w:name w:val="Light Grid"/>
    <w:basedOn w:val="TableNormal"/>
    <w:uiPriority w:val="99"/>
    <w:semiHidden/>
    <w:rsid w:val="00014566"/>
    <w:rPr>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9"/>
    <w:semiHidden/>
    <w:rsid w:val="00014566"/>
    <w:rPr>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18" w:space="0" w:color="0072BC" w:themeColor="accent1"/>
          <w:right w:val="single" w:sz="8" w:space="0" w:color="0072BC" w:themeColor="accent1"/>
          <w:insideH w:val="nil"/>
          <w:insideV w:val="single" w:sz="8" w:space="0" w:color="0072B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insideH w:val="nil"/>
          <w:insideV w:val="single" w:sz="8" w:space="0" w:color="0072B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shd w:val="clear" w:color="auto" w:fill="AFDFFF" w:themeFill="accent1" w:themeFillTint="3F"/>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shd w:val="clear" w:color="auto" w:fill="AFDFFF" w:themeFill="accent1" w:themeFillTint="3F"/>
      </w:tcPr>
    </w:tblStylePr>
    <w:tblStylePr w:type="band2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tcPr>
    </w:tblStylePr>
  </w:style>
  <w:style w:type="table" w:styleId="LightGrid-Accent2">
    <w:name w:val="Light Grid Accent 2"/>
    <w:basedOn w:val="TableNormal"/>
    <w:uiPriority w:val="99"/>
    <w:semiHidden/>
    <w:rsid w:val="00014566"/>
    <w:rPr>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18" w:space="0" w:color="C00000" w:themeColor="accent2"/>
          <w:right w:val="single" w:sz="8" w:space="0" w:color="C00000" w:themeColor="accent2"/>
          <w:insideH w:val="nil"/>
          <w:insideV w:val="single" w:sz="8" w:space="0" w:color="C000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insideH w:val="nil"/>
          <w:insideV w:val="single" w:sz="8" w:space="0" w:color="C000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shd w:val="clear" w:color="auto" w:fill="FFB0B0" w:themeFill="accent2" w:themeFillTint="3F"/>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shd w:val="clear" w:color="auto" w:fill="FFB0B0" w:themeFill="accent2" w:themeFillTint="3F"/>
      </w:tcPr>
    </w:tblStylePr>
    <w:tblStylePr w:type="band2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tcPr>
    </w:tblStylePr>
  </w:style>
  <w:style w:type="table" w:styleId="LightGrid-Accent3">
    <w:name w:val="Light Grid Accent 3"/>
    <w:basedOn w:val="TableNormal"/>
    <w:uiPriority w:val="99"/>
    <w:semiHidden/>
    <w:rsid w:val="00014566"/>
    <w:rPr>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18" w:space="0" w:color="5F5F5F" w:themeColor="accent3"/>
          <w:right w:val="single" w:sz="8" w:space="0" w:color="5F5F5F" w:themeColor="accent3"/>
          <w:insideH w:val="nil"/>
          <w:insideV w:val="single" w:sz="8" w:space="0" w:color="5F5F5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insideH w:val="nil"/>
          <w:insideV w:val="single" w:sz="8" w:space="0" w:color="5F5F5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shd w:val="clear" w:color="auto" w:fill="D7D7D7" w:themeFill="accent3" w:themeFillTint="3F"/>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shd w:val="clear" w:color="auto" w:fill="D7D7D7" w:themeFill="accent3" w:themeFillTint="3F"/>
      </w:tcPr>
    </w:tblStylePr>
    <w:tblStylePr w:type="band2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tcPr>
    </w:tblStylePr>
  </w:style>
  <w:style w:type="table" w:styleId="LightGrid-Accent4">
    <w:name w:val="Light Grid Accent 4"/>
    <w:basedOn w:val="TableNormal"/>
    <w:uiPriority w:val="99"/>
    <w:semiHidden/>
    <w:rsid w:val="00014566"/>
    <w:rPr>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18" w:space="0" w:color="969696" w:themeColor="accent4"/>
          <w:right w:val="single" w:sz="8" w:space="0" w:color="969696" w:themeColor="accent4"/>
          <w:insideH w:val="nil"/>
          <w:insideV w:val="single" w:sz="8" w:space="0" w:color="969696"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insideH w:val="nil"/>
          <w:insideV w:val="single" w:sz="8" w:space="0" w:color="969696"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shd w:val="clear" w:color="auto" w:fill="E5E5E5" w:themeFill="accent4" w:themeFillTint="3F"/>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shd w:val="clear" w:color="auto" w:fill="E5E5E5" w:themeFill="accent4" w:themeFillTint="3F"/>
      </w:tcPr>
    </w:tblStylePr>
    <w:tblStylePr w:type="band2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tcPr>
    </w:tblStylePr>
  </w:style>
  <w:style w:type="table" w:styleId="LightGrid-Accent5">
    <w:name w:val="Light Grid Accent 5"/>
    <w:basedOn w:val="TableNormal"/>
    <w:uiPriority w:val="99"/>
    <w:semiHidden/>
    <w:rsid w:val="00014566"/>
    <w:rPr>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99"/>
    <w:semiHidden/>
    <w:rsid w:val="00014566"/>
    <w:rPr>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99"/>
    <w:semiHidden/>
    <w:rsid w:val="00014566"/>
    <w:rPr>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72BC"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9"/>
    <w:semiHidden/>
    <w:rsid w:val="00014566"/>
    <w:rPr>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pPr>
        <w:spacing w:before="0" w:after="0" w:line="240" w:lineRule="auto"/>
      </w:pPr>
      <w:rPr>
        <w:b/>
        <w:bCs/>
        <w:color w:val="0072BC" w:themeColor="background1"/>
      </w:rPr>
      <w:tblPr/>
      <w:tcPr>
        <w:shd w:val="clear" w:color="auto" w:fill="0072BC" w:themeFill="accent1"/>
      </w:tcPr>
    </w:tblStylePr>
    <w:tblStylePr w:type="lastRow">
      <w:pPr>
        <w:spacing w:before="0" w:after="0" w:line="240" w:lineRule="auto"/>
      </w:pPr>
      <w:rPr>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tcBorders>
      </w:tcPr>
    </w:tblStylePr>
    <w:tblStylePr w:type="firstCol">
      <w:rPr>
        <w:b/>
        <w:bCs/>
      </w:rPr>
    </w:tblStylePr>
    <w:tblStylePr w:type="lastCol">
      <w:rPr>
        <w:b/>
        <w:bCs/>
      </w:r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style>
  <w:style w:type="table" w:styleId="LightList-Accent2">
    <w:name w:val="Light List Accent 2"/>
    <w:basedOn w:val="TableNormal"/>
    <w:uiPriority w:val="99"/>
    <w:semiHidden/>
    <w:rsid w:val="00014566"/>
    <w:rPr>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pPr>
        <w:spacing w:before="0" w:after="0" w:line="240" w:lineRule="auto"/>
      </w:pPr>
      <w:rPr>
        <w:b/>
        <w:bCs/>
        <w:color w:val="0072BC" w:themeColor="background1"/>
      </w:rPr>
      <w:tblPr/>
      <w:tcPr>
        <w:shd w:val="clear" w:color="auto" w:fill="C00000" w:themeFill="accent2"/>
      </w:tcPr>
    </w:tblStylePr>
    <w:tblStylePr w:type="lastRow">
      <w:pPr>
        <w:spacing w:before="0" w:after="0" w:line="240" w:lineRule="auto"/>
      </w:pPr>
      <w:rPr>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tcBorders>
      </w:tcPr>
    </w:tblStylePr>
    <w:tblStylePr w:type="firstCol">
      <w:rPr>
        <w:b/>
        <w:bCs/>
      </w:rPr>
    </w:tblStylePr>
    <w:tblStylePr w:type="lastCol">
      <w:rPr>
        <w:b/>
        <w:bCs/>
      </w:r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style>
  <w:style w:type="table" w:styleId="LightList-Accent3">
    <w:name w:val="Light List Accent 3"/>
    <w:basedOn w:val="TableNormal"/>
    <w:uiPriority w:val="99"/>
    <w:semiHidden/>
    <w:rsid w:val="00014566"/>
    <w:rPr>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pPr>
        <w:spacing w:before="0" w:after="0" w:line="240" w:lineRule="auto"/>
      </w:pPr>
      <w:rPr>
        <w:b/>
        <w:bCs/>
        <w:color w:val="0072BC" w:themeColor="background1"/>
      </w:rPr>
      <w:tblPr/>
      <w:tcPr>
        <w:shd w:val="clear" w:color="auto" w:fill="5F5F5F" w:themeFill="accent3"/>
      </w:tcPr>
    </w:tblStylePr>
    <w:tblStylePr w:type="lastRow">
      <w:pPr>
        <w:spacing w:before="0" w:after="0" w:line="240" w:lineRule="auto"/>
      </w:pPr>
      <w:rPr>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tcBorders>
      </w:tcPr>
    </w:tblStylePr>
    <w:tblStylePr w:type="firstCol">
      <w:rPr>
        <w:b/>
        <w:bCs/>
      </w:rPr>
    </w:tblStylePr>
    <w:tblStylePr w:type="lastCol">
      <w:rPr>
        <w:b/>
        <w:bCs/>
      </w:r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style>
  <w:style w:type="table" w:styleId="LightList-Accent4">
    <w:name w:val="Light List Accent 4"/>
    <w:basedOn w:val="TableNormal"/>
    <w:uiPriority w:val="99"/>
    <w:semiHidden/>
    <w:rsid w:val="00014566"/>
    <w:rPr>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pPr>
        <w:spacing w:before="0" w:after="0" w:line="240" w:lineRule="auto"/>
      </w:pPr>
      <w:rPr>
        <w:b/>
        <w:bCs/>
        <w:color w:val="0072BC" w:themeColor="background1"/>
      </w:rPr>
      <w:tblPr/>
      <w:tcPr>
        <w:shd w:val="clear" w:color="auto" w:fill="969696" w:themeFill="accent4"/>
      </w:tcPr>
    </w:tblStylePr>
    <w:tblStylePr w:type="lastRow">
      <w:pPr>
        <w:spacing w:before="0" w:after="0" w:line="240" w:lineRule="auto"/>
      </w:pPr>
      <w:rPr>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tcBorders>
      </w:tcPr>
    </w:tblStylePr>
    <w:tblStylePr w:type="firstCol">
      <w:rPr>
        <w:b/>
        <w:bCs/>
      </w:rPr>
    </w:tblStylePr>
    <w:tblStylePr w:type="lastCol">
      <w:rPr>
        <w:b/>
        <w:bCs/>
      </w:r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style>
  <w:style w:type="table" w:styleId="LightList-Accent5">
    <w:name w:val="Light List Accent 5"/>
    <w:basedOn w:val="TableNormal"/>
    <w:uiPriority w:val="99"/>
    <w:semiHidden/>
    <w:rsid w:val="00014566"/>
    <w:rPr>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0072BC"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99"/>
    <w:semiHidden/>
    <w:rsid w:val="00014566"/>
    <w:rPr>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0072BC"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99"/>
    <w:semiHidden/>
    <w:rsid w:val="00014566"/>
    <w:rPr>
      <w:color w:val="000000" w:themeColor="text1" w:themeShade="BF"/>
      <w:lang w:val="fr-FR" w:eastAsia="fr-FR"/>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9"/>
    <w:semiHidden/>
    <w:rsid w:val="00014566"/>
    <w:rPr>
      <w:color w:val="00548C" w:themeColor="accent1" w:themeShade="BF"/>
      <w:lang w:val="fr-FR" w:eastAsia="fr-FR"/>
    </w:rPr>
    <w:tblPr>
      <w:tblStyleRowBandSize w:val="1"/>
      <w:tblStyleColBandSize w:val="1"/>
      <w:tblBorders>
        <w:top w:val="single" w:sz="8" w:space="0" w:color="0072BC" w:themeColor="accent1"/>
        <w:bottom w:val="single" w:sz="8" w:space="0" w:color="0072BC" w:themeColor="accent1"/>
      </w:tblBorders>
    </w:tblPr>
    <w:tblStylePr w:type="fir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la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left w:val="nil"/>
          <w:right w:val="nil"/>
          <w:insideH w:val="nil"/>
          <w:insideV w:val="nil"/>
        </w:tcBorders>
        <w:shd w:val="clear" w:color="auto" w:fill="AFDFFF" w:themeFill="accent1" w:themeFillTint="3F"/>
      </w:tcPr>
    </w:tblStylePr>
  </w:style>
  <w:style w:type="table" w:styleId="LightShading-Accent2">
    <w:name w:val="Light Shading Accent 2"/>
    <w:basedOn w:val="TableNormal"/>
    <w:uiPriority w:val="99"/>
    <w:semiHidden/>
    <w:rsid w:val="00014566"/>
    <w:rPr>
      <w:color w:val="8F0000" w:themeColor="accent2" w:themeShade="BF"/>
      <w:lang w:val="fr-FR" w:eastAsia="fr-FR"/>
    </w:rPr>
    <w:tblPr>
      <w:tblStyleRowBandSize w:val="1"/>
      <w:tblStyleColBandSize w:val="1"/>
      <w:tblBorders>
        <w:top w:val="single" w:sz="8" w:space="0" w:color="C00000" w:themeColor="accent2"/>
        <w:bottom w:val="single" w:sz="8" w:space="0" w:color="C00000" w:themeColor="accent2"/>
      </w:tblBorders>
    </w:tblPr>
    <w:tblStylePr w:type="fir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la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left w:val="nil"/>
          <w:right w:val="nil"/>
          <w:insideH w:val="nil"/>
          <w:insideV w:val="nil"/>
        </w:tcBorders>
        <w:shd w:val="clear" w:color="auto" w:fill="FFB0B0" w:themeFill="accent2" w:themeFillTint="3F"/>
      </w:tcPr>
    </w:tblStylePr>
  </w:style>
  <w:style w:type="table" w:styleId="LightShading-Accent3">
    <w:name w:val="Light Shading Accent 3"/>
    <w:basedOn w:val="TableNormal"/>
    <w:uiPriority w:val="99"/>
    <w:semiHidden/>
    <w:rsid w:val="00014566"/>
    <w:rPr>
      <w:color w:val="474747" w:themeColor="accent3" w:themeShade="BF"/>
      <w:lang w:val="fr-FR" w:eastAsia="fr-FR"/>
    </w:rPr>
    <w:tblPr>
      <w:tblStyleRowBandSize w:val="1"/>
      <w:tblStyleColBandSize w:val="1"/>
      <w:tblBorders>
        <w:top w:val="single" w:sz="8" w:space="0" w:color="5F5F5F" w:themeColor="accent3"/>
        <w:bottom w:val="single" w:sz="8" w:space="0" w:color="5F5F5F" w:themeColor="accent3"/>
      </w:tblBorders>
    </w:tblPr>
    <w:tblStylePr w:type="fir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la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left w:val="nil"/>
          <w:right w:val="nil"/>
          <w:insideH w:val="nil"/>
          <w:insideV w:val="nil"/>
        </w:tcBorders>
        <w:shd w:val="clear" w:color="auto" w:fill="D7D7D7" w:themeFill="accent3" w:themeFillTint="3F"/>
      </w:tcPr>
    </w:tblStylePr>
  </w:style>
  <w:style w:type="table" w:styleId="LightShading-Accent4">
    <w:name w:val="Light Shading Accent 4"/>
    <w:basedOn w:val="TableNormal"/>
    <w:uiPriority w:val="99"/>
    <w:semiHidden/>
    <w:rsid w:val="00014566"/>
    <w:rPr>
      <w:color w:val="707070" w:themeColor="accent4" w:themeShade="BF"/>
      <w:lang w:val="fr-FR" w:eastAsia="fr-FR"/>
    </w:rPr>
    <w:tblPr>
      <w:tblStyleRowBandSize w:val="1"/>
      <w:tblStyleColBandSize w:val="1"/>
      <w:tblBorders>
        <w:top w:val="single" w:sz="8" w:space="0" w:color="969696" w:themeColor="accent4"/>
        <w:bottom w:val="single" w:sz="8" w:space="0" w:color="969696" w:themeColor="accent4"/>
      </w:tblBorders>
    </w:tblPr>
    <w:tblStylePr w:type="fir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la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left w:val="nil"/>
          <w:right w:val="nil"/>
          <w:insideH w:val="nil"/>
          <w:insideV w:val="nil"/>
        </w:tcBorders>
        <w:shd w:val="clear" w:color="auto" w:fill="E5E5E5" w:themeFill="accent4" w:themeFillTint="3F"/>
      </w:tcPr>
    </w:tblStylePr>
  </w:style>
  <w:style w:type="table" w:styleId="LightShading-Accent5">
    <w:name w:val="Light Shading Accent 5"/>
    <w:basedOn w:val="TableNormal"/>
    <w:uiPriority w:val="99"/>
    <w:semiHidden/>
    <w:rsid w:val="00014566"/>
    <w:rPr>
      <w:color w:val="474747" w:themeColor="accent5" w:themeShade="BF"/>
      <w:lang w:val="fr-FR" w:eastAsia="fr-FR"/>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99"/>
    <w:semiHidden/>
    <w:rsid w:val="00014566"/>
    <w:rPr>
      <w:color w:val="393939" w:themeColor="accent6" w:themeShade="BF"/>
      <w:lang w:val="fr-FR" w:eastAsia="fr-FR"/>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9"/>
    <w:semiHidden/>
    <w:rsid w:val="00014566"/>
  </w:style>
  <w:style w:type="paragraph" w:styleId="List">
    <w:name w:val="List"/>
    <w:basedOn w:val="Normal"/>
    <w:uiPriority w:val="99"/>
    <w:semiHidden/>
    <w:rsid w:val="00014566"/>
    <w:pPr>
      <w:ind w:left="283" w:hanging="283"/>
      <w:contextualSpacing/>
    </w:pPr>
  </w:style>
  <w:style w:type="paragraph" w:styleId="List2">
    <w:name w:val="List 2"/>
    <w:basedOn w:val="Normal"/>
    <w:uiPriority w:val="99"/>
    <w:semiHidden/>
    <w:rsid w:val="00014566"/>
    <w:pPr>
      <w:ind w:left="566" w:hanging="283"/>
      <w:contextualSpacing/>
    </w:pPr>
  </w:style>
  <w:style w:type="paragraph" w:styleId="List3">
    <w:name w:val="List 3"/>
    <w:basedOn w:val="Normal"/>
    <w:uiPriority w:val="99"/>
    <w:semiHidden/>
    <w:rsid w:val="00014566"/>
    <w:pPr>
      <w:ind w:left="849" w:hanging="283"/>
      <w:contextualSpacing/>
    </w:pPr>
  </w:style>
  <w:style w:type="paragraph" w:styleId="List4">
    <w:name w:val="List 4"/>
    <w:basedOn w:val="Normal"/>
    <w:uiPriority w:val="99"/>
    <w:semiHidden/>
    <w:rsid w:val="00014566"/>
    <w:pPr>
      <w:ind w:left="1132" w:hanging="283"/>
      <w:contextualSpacing/>
    </w:pPr>
  </w:style>
  <w:style w:type="paragraph" w:styleId="List5">
    <w:name w:val="List 5"/>
    <w:basedOn w:val="Normal"/>
    <w:uiPriority w:val="99"/>
    <w:semiHidden/>
    <w:rsid w:val="00014566"/>
    <w:pPr>
      <w:ind w:left="1415" w:hanging="283"/>
      <w:contextualSpacing/>
    </w:pPr>
  </w:style>
  <w:style w:type="paragraph" w:styleId="ListBullet2">
    <w:name w:val="List Bullet 2"/>
    <w:basedOn w:val="Normal"/>
    <w:uiPriority w:val="99"/>
    <w:semiHidden/>
    <w:rsid w:val="00014566"/>
    <w:pPr>
      <w:numPr>
        <w:numId w:val="5"/>
      </w:numPr>
      <w:contextualSpacing/>
    </w:pPr>
  </w:style>
  <w:style w:type="paragraph" w:styleId="ListBullet3">
    <w:name w:val="List Bullet 3"/>
    <w:basedOn w:val="Normal"/>
    <w:uiPriority w:val="99"/>
    <w:semiHidden/>
    <w:rsid w:val="00014566"/>
    <w:pPr>
      <w:numPr>
        <w:numId w:val="6"/>
      </w:numPr>
      <w:contextualSpacing/>
    </w:pPr>
  </w:style>
  <w:style w:type="paragraph" w:styleId="ListBullet4">
    <w:name w:val="List Bullet 4"/>
    <w:basedOn w:val="Normal"/>
    <w:uiPriority w:val="99"/>
    <w:semiHidden/>
    <w:rsid w:val="00014566"/>
    <w:pPr>
      <w:numPr>
        <w:numId w:val="7"/>
      </w:numPr>
      <w:contextualSpacing/>
    </w:pPr>
  </w:style>
  <w:style w:type="paragraph" w:styleId="ListBullet5">
    <w:name w:val="List Bullet 5"/>
    <w:basedOn w:val="Normal"/>
    <w:uiPriority w:val="99"/>
    <w:semiHidden/>
    <w:rsid w:val="00014566"/>
    <w:pPr>
      <w:numPr>
        <w:numId w:val="8"/>
      </w:numPr>
      <w:contextualSpacing/>
    </w:pPr>
  </w:style>
  <w:style w:type="paragraph" w:styleId="ListContinue">
    <w:name w:val="List Continue"/>
    <w:basedOn w:val="Normal"/>
    <w:uiPriority w:val="99"/>
    <w:semiHidden/>
    <w:rsid w:val="00014566"/>
    <w:pPr>
      <w:spacing w:after="120"/>
      <w:ind w:left="283"/>
      <w:contextualSpacing/>
    </w:pPr>
  </w:style>
  <w:style w:type="paragraph" w:styleId="ListContinue2">
    <w:name w:val="List Continue 2"/>
    <w:basedOn w:val="Normal"/>
    <w:uiPriority w:val="99"/>
    <w:semiHidden/>
    <w:rsid w:val="00014566"/>
    <w:pPr>
      <w:spacing w:after="120"/>
      <w:ind w:left="566"/>
      <w:contextualSpacing/>
    </w:pPr>
  </w:style>
  <w:style w:type="paragraph" w:styleId="ListContinue3">
    <w:name w:val="List Continue 3"/>
    <w:basedOn w:val="Normal"/>
    <w:uiPriority w:val="99"/>
    <w:semiHidden/>
    <w:rsid w:val="00014566"/>
    <w:pPr>
      <w:spacing w:after="120"/>
      <w:ind w:left="849"/>
      <w:contextualSpacing/>
    </w:pPr>
  </w:style>
  <w:style w:type="paragraph" w:styleId="ListContinue4">
    <w:name w:val="List Continue 4"/>
    <w:basedOn w:val="Normal"/>
    <w:uiPriority w:val="99"/>
    <w:semiHidden/>
    <w:rsid w:val="00014566"/>
    <w:pPr>
      <w:spacing w:after="120"/>
      <w:ind w:left="1132"/>
      <w:contextualSpacing/>
    </w:pPr>
  </w:style>
  <w:style w:type="paragraph" w:styleId="ListContinue5">
    <w:name w:val="List Continue 5"/>
    <w:basedOn w:val="Normal"/>
    <w:uiPriority w:val="99"/>
    <w:semiHidden/>
    <w:rsid w:val="00014566"/>
    <w:pPr>
      <w:spacing w:after="120"/>
      <w:ind w:left="1415"/>
      <w:contextualSpacing/>
    </w:pPr>
  </w:style>
  <w:style w:type="paragraph" w:styleId="ListNumber">
    <w:name w:val="List Number"/>
    <w:basedOn w:val="Normal"/>
    <w:uiPriority w:val="99"/>
    <w:semiHidden/>
    <w:rsid w:val="00014566"/>
    <w:pPr>
      <w:numPr>
        <w:numId w:val="9"/>
      </w:numPr>
      <w:contextualSpacing/>
    </w:pPr>
  </w:style>
  <w:style w:type="paragraph" w:styleId="ListNumber2">
    <w:name w:val="List Number 2"/>
    <w:basedOn w:val="Normal"/>
    <w:uiPriority w:val="99"/>
    <w:semiHidden/>
    <w:rsid w:val="00014566"/>
    <w:pPr>
      <w:numPr>
        <w:numId w:val="10"/>
      </w:numPr>
      <w:contextualSpacing/>
    </w:pPr>
  </w:style>
  <w:style w:type="paragraph" w:styleId="ListNumber3">
    <w:name w:val="List Number 3"/>
    <w:basedOn w:val="Normal"/>
    <w:uiPriority w:val="99"/>
    <w:semiHidden/>
    <w:rsid w:val="00014566"/>
    <w:pPr>
      <w:numPr>
        <w:numId w:val="11"/>
      </w:numPr>
      <w:contextualSpacing/>
    </w:pPr>
  </w:style>
  <w:style w:type="paragraph" w:styleId="ListNumber4">
    <w:name w:val="List Number 4"/>
    <w:basedOn w:val="Normal"/>
    <w:uiPriority w:val="99"/>
    <w:semiHidden/>
    <w:rsid w:val="00014566"/>
    <w:pPr>
      <w:numPr>
        <w:numId w:val="12"/>
      </w:numPr>
      <w:contextualSpacing/>
    </w:pPr>
  </w:style>
  <w:style w:type="paragraph" w:styleId="ListNumber5">
    <w:name w:val="List Number 5"/>
    <w:basedOn w:val="Normal"/>
    <w:uiPriority w:val="99"/>
    <w:semiHidden/>
    <w:rsid w:val="00014566"/>
    <w:pPr>
      <w:numPr>
        <w:numId w:val="13"/>
      </w:numPr>
      <w:contextualSpacing/>
    </w:pPr>
  </w:style>
  <w:style w:type="paragraph" w:styleId="MacroText">
    <w:name w:val="macro"/>
    <w:link w:val="MacroTextChar"/>
    <w:uiPriority w:val="99"/>
    <w:semiHidden/>
    <w:rsid w:val="00014566"/>
    <w:pPr>
      <w:tabs>
        <w:tab w:val="left" w:pos="480"/>
        <w:tab w:val="left" w:pos="960"/>
        <w:tab w:val="left" w:pos="1440"/>
        <w:tab w:val="left" w:pos="1920"/>
        <w:tab w:val="left" w:pos="2400"/>
        <w:tab w:val="left" w:pos="2880"/>
        <w:tab w:val="left" w:pos="3360"/>
        <w:tab w:val="left" w:pos="3840"/>
        <w:tab w:val="left" w:pos="4320"/>
      </w:tabs>
      <w:suppressAutoHyphens/>
    </w:pPr>
    <w:rPr>
      <w:rFonts w:ascii="Consolas" w:hAnsi="Consolas" w:cs="Consolas"/>
      <w:sz w:val="20"/>
      <w:szCs w:val="20"/>
      <w:lang w:val="en-GB" w:eastAsia="fr-FR"/>
    </w:rPr>
  </w:style>
  <w:style w:type="character" w:customStyle="1" w:styleId="MacroTextChar">
    <w:name w:val="Macro Text Char"/>
    <w:basedOn w:val="DefaultParagraphFont"/>
    <w:link w:val="MacroText"/>
    <w:uiPriority w:val="99"/>
    <w:semiHidden/>
    <w:rsid w:val="00014566"/>
    <w:rPr>
      <w:rFonts w:ascii="Consolas" w:hAnsi="Consolas" w:cs="Consolas"/>
      <w:sz w:val="20"/>
      <w:szCs w:val="20"/>
      <w:lang w:val="en-GB" w:eastAsia="fr-FR"/>
    </w:rPr>
  </w:style>
  <w:style w:type="table" w:styleId="MediumGrid1">
    <w:name w:val="Medium Grid 1"/>
    <w:basedOn w:val="TableNormal"/>
    <w:uiPriority w:val="99"/>
    <w:semiHidden/>
    <w:rsid w:val="00014566"/>
    <w:rPr>
      <w:lang w:val="fr-FR" w:eastAsia="fr-F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9"/>
    <w:semiHidden/>
    <w:rsid w:val="00014566"/>
    <w:rPr>
      <w:lang w:val="fr-FR" w:eastAsia="fr-FR"/>
    </w:rPr>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insideV w:val="single" w:sz="8" w:space="0" w:color="0D9FFF" w:themeColor="accent1" w:themeTint="BF"/>
      </w:tblBorders>
    </w:tblPr>
    <w:tcPr>
      <w:shd w:val="clear" w:color="auto" w:fill="AFDFFF" w:themeFill="accent1" w:themeFillTint="3F"/>
    </w:tcPr>
    <w:tblStylePr w:type="firstRow">
      <w:rPr>
        <w:b/>
        <w:bCs/>
      </w:rPr>
    </w:tblStylePr>
    <w:tblStylePr w:type="lastRow">
      <w:rPr>
        <w:b/>
        <w:bCs/>
      </w:rPr>
      <w:tblPr/>
      <w:tcPr>
        <w:tcBorders>
          <w:top w:val="single" w:sz="18" w:space="0" w:color="0D9FFF" w:themeColor="accent1" w:themeTint="BF"/>
        </w:tcBorders>
      </w:tcPr>
    </w:tblStylePr>
    <w:tblStylePr w:type="firstCol">
      <w:rPr>
        <w:b/>
        <w:bCs/>
      </w:rPr>
    </w:tblStylePr>
    <w:tblStylePr w:type="lastCol">
      <w:rPr>
        <w:b/>
        <w:bCs/>
      </w:r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MediumGrid1-Accent2">
    <w:name w:val="Medium Grid 1 Accent 2"/>
    <w:basedOn w:val="TableNormal"/>
    <w:uiPriority w:val="99"/>
    <w:semiHidden/>
    <w:rsid w:val="00014566"/>
    <w:rPr>
      <w:lang w:val="fr-FR" w:eastAsia="fr-FR"/>
    </w:rPr>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insideV w:val="single" w:sz="8" w:space="0" w:color="FF1010" w:themeColor="accent2" w:themeTint="BF"/>
      </w:tblBorders>
    </w:tblPr>
    <w:tcPr>
      <w:shd w:val="clear" w:color="auto" w:fill="FFB0B0" w:themeFill="accent2" w:themeFillTint="3F"/>
    </w:tcPr>
    <w:tblStylePr w:type="firstRow">
      <w:rPr>
        <w:b/>
        <w:bCs/>
      </w:rPr>
    </w:tblStylePr>
    <w:tblStylePr w:type="lastRow">
      <w:rPr>
        <w:b/>
        <w:bCs/>
      </w:rPr>
      <w:tblPr/>
      <w:tcPr>
        <w:tcBorders>
          <w:top w:val="single" w:sz="18" w:space="0" w:color="FF1010" w:themeColor="accent2" w:themeTint="BF"/>
        </w:tcBorders>
      </w:tcPr>
    </w:tblStylePr>
    <w:tblStylePr w:type="firstCol">
      <w:rPr>
        <w:b/>
        <w:bCs/>
      </w:rPr>
    </w:tblStylePr>
    <w:tblStylePr w:type="lastCol">
      <w:rPr>
        <w:b/>
        <w:bCs/>
      </w:r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MediumGrid1-Accent3">
    <w:name w:val="Medium Grid 1 Accent 3"/>
    <w:basedOn w:val="TableNormal"/>
    <w:uiPriority w:val="99"/>
    <w:semiHidden/>
    <w:rsid w:val="00014566"/>
    <w:rPr>
      <w:lang w:val="fr-FR" w:eastAsia="fr-FR"/>
    </w:rPr>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insideV w:val="single" w:sz="8" w:space="0" w:color="878787" w:themeColor="accent3" w:themeTint="BF"/>
      </w:tblBorders>
    </w:tblPr>
    <w:tcPr>
      <w:shd w:val="clear" w:color="auto" w:fill="D7D7D7" w:themeFill="accent3" w:themeFillTint="3F"/>
    </w:tcPr>
    <w:tblStylePr w:type="firstRow">
      <w:rPr>
        <w:b/>
        <w:bCs/>
      </w:rPr>
    </w:tblStylePr>
    <w:tblStylePr w:type="lastRow">
      <w:rPr>
        <w:b/>
        <w:bCs/>
      </w:rPr>
      <w:tblPr/>
      <w:tcPr>
        <w:tcBorders>
          <w:top w:val="single" w:sz="18" w:space="0" w:color="878787" w:themeColor="accent3" w:themeTint="BF"/>
        </w:tcBorders>
      </w:tcPr>
    </w:tblStylePr>
    <w:tblStylePr w:type="firstCol">
      <w:rPr>
        <w:b/>
        <w:bCs/>
      </w:rPr>
    </w:tblStylePr>
    <w:tblStylePr w:type="lastCol">
      <w:rPr>
        <w:b/>
        <w:bCs/>
      </w:r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MediumGrid1-Accent4">
    <w:name w:val="Medium Grid 1 Accent 4"/>
    <w:basedOn w:val="TableNormal"/>
    <w:uiPriority w:val="99"/>
    <w:semiHidden/>
    <w:rsid w:val="00014566"/>
    <w:rPr>
      <w:lang w:val="fr-FR" w:eastAsia="fr-FR"/>
    </w:rPr>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insideV w:val="single" w:sz="8" w:space="0" w:color="B0B0B0" w:themeColor="accent4" w:themeTint="BF"/>
      </w:tblBorders>
    </w:tblPr>
    <w:tcPr>
      <w:shd w:val="clear" w:color="auto" w:fill="E5E5E5" w:themeFill="accent4" w:themeFillTint="3F"/>
    </w:tcPr>
    <w:tblStylePr w:type="firstRow">
      <w:rPr>
        <w:b/>
        <w:bCs/>
      </w:rPr>
    </w:tblStylePr>
    <w:tblStylePr w:type="lastRow">
      <w:rPr>
        <w:b/>
        <w:bCs/>
      </w:rPr>
      <w:tblPr/>
      <w:tcPr>
        <w:tcBorders>
          <w:top w:val="single" w:sz="18" w:space="0" w:color="B0B0B0" w:themeColor="accent4" w:themeTint="BF"/>
        </w:tcBorders>
      </w:tcPr>
    </w:tblStylePr>
    <w:tblStylePr w:type="firstCol">
      <w:rPr>
        <w:b/>
        <w:bCs/>
      </w:rPr>
    </w:tblStylePr>
    <w:tblStylePr w:type="lastCol">
      <w:rPr>
        <w:b/>
        <w:bCs/>
      </w:r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MediumGrid1-Accent5">
    <w:name w:val="Medium Grid 1 Accent 5"/>
    <w:basedOn w:val="TableNormal"/>
    <w:uiPriority w:val="99"/>
    <w:semiHidden/>
    <w:rsid w:val="00014566"/>
    <w:rPr>
      <w:lang w:val="fr-FR" w:eastAsia="fr-FR"/>
    </w:r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99"/>
    <w:semiHidden/>
    <w:rsid w:val="00014566"/>
    <w:rPr>
      <w:lang w:val="fr-FR" w:eastAsia="fr-FR"/>
    </w:r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0072BC" w:themeFill="background1"/>
      </w:tcPr>
    </w:tblStylePr>
  </w:style>
  <w:style w:type="table" w:styleId="MediumGrid2-Accent1">
    <w:name w:val="Medium Grid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cPr>
      <w:shd w:val="clear" w:color="auto" w:fill="AFDFFF" w:themeFill="accent1" w:themeFillTint="3F"/>
    </w:tcPr>
    <w:tblStylePr w:type="firstRow">
      <w:rPr>
        <w:b/>
        <w:bCs/>
        <w:color w:val="000000" w:themeColor="text1"/>
      </w:rPr>
      <w:tblPr/>
      <w:tcPr>
        <w:shd w:val="clear" w:color="auto" w:fill="DFF2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EE5FF" w:themeFill="accent1" w:themeFillTint="33"/>
      </w:tcPr>
    </w:tblStylePr>
    <w:tblStylePr w:type="band1Vert">
      <w:tblPr/>
      <w:tcPr>
        <w:shd w:val="clear" w:color="auto" w:fill="5EBFFF" w:themeFill="accent1" w:themeFillTint="7F"/>
      </w:tcPr>
    </w:tblStylePr>
    <w:tblStylePr w:type="band1Horz">
      <w:tblPr/>
      <w:tcPr>
        <w:tcBorders>
          <w:insideH w:val="single" w:sz="6" w:space="0" w:color="0072BC" w:themeColor="accent1"/>
          <w:insideV w:val="single" w:sz="6" w:space="0" w:color="0072BC" w:themeColor="accent1"/>
        </w:tcBorders>
        <w:shd w:val="clear" w:color="auto" w:fill="5EBFFF" w:themeFill="accent1" w:themeFillTint="7F"/>
      </w:tcPr>
    </w:tblStylePr>
    <w:tblStylePr w:type="nwCell">
      <w:tblPr/>
      <w:tcPr>
        <w:shd w:val="clear" w:color="auto" w:fill="0072BC" w:themeFill="background1"/>
      </w:tcPr>
    </w:tblStylePr>
  </w:style>
  <w:style w:type="table" w:styleId="MediumGrid2-Accent2">
    <w:name w:val="Medium Grid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cPr>
      <w:shd w:val="clear" w:color="auto" w:fill="FFB0B0" w:themeFill="accent2" w:themeFillTint="3F"/>
    </w:tcPr>
    <w:tblStylePr w:type="firstRow">
      <w:rPr>
        <w:b/>
        <w:bCs/>
        <w:color w:val="000000" w:themeColor="text1"/>
      </w:rPr>
      <w:tblPr/>
      <w:tcPr>
        <w:shd w:val="clear" w:color="auto" w:fill="FFDFD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BFBF" w:themeFill="accent2" w:themeFillTint="33"/>
      </w:tcPr>
    </w:tblStylePr>
    <w:tblStylePr w:type="band1Vert">
      <w:tblPr/>
      <w:tcPr>
        <w:shd w:val="clear" w:color="auto" w:fill="FF6060" w:themeFill="accent2" w:themeFillTint="7F"/>
      </w:tcPr>
    </w:tblStylePr>
    <w:tblStylePr w:type="band1Horz">
      <w:tblPr/>
      <w:tcPr>
        <w:tcBorders>
          <w:insideH w:val="single" w:sz="6" w:space="0" w:color="C00000" w:themeColor="accent2"/>
          <w:insideV w:val="single" w:sz="6" w:space="0" w:color="C00000" w:themeColor="accent2"/>
        </w:tcBorders>
        <w:shd w:val="clear" w:color="auto" w:fill="FF6060" w:themeFill="accent2" w:themeFillTint="7F"/>
      </w:tcPr>
    </w:tblStylePr>
    <w:tblStylePr w:type="nwCell">
      <w:tblPr/>
      <w:tcPr>
        <w:shd w:val="clear" w:color="auto" w:fill="0072BC" w:themeFill="background1"/>
      </w:tcPr>
    </w:tblStylePr>
  </w:style>
  <w:style w:type="table" w:styleId="MediumGrid2-Accent3">
    <w:name w:val="Medium Grid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cPr>
      <w:shd w:val="clear" w:color="auto" w:fill="D7D7D7" w:themeFill="accent3" w:themeFillTint="3F"/>
    </w:tcPr>
    <w:tblStylePr w:type="firstRow">
      <w:rPr>
        <w:b/>
        <w:bCs/>
        <w:color w:val="000000" w:themeColor="text1"/>
      </w:rPr>
      <w:tblPr/>
      <w:tcPr>
        <w:shd w:val="clear" w:color="auto" w:fill="EFEFE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3" w:themeFillTint="33"/>
      </w:tcPr>
    </w:tblStylePr>
    <w:tblStylePr w:type="band1Vert">
      <w:tblPr/>
      <w:tcPr>
        <w:shd w:val="clear" w:color="auto" w:fill="AFAFAF" w:themeFill="accent3" w:themeFillTint="7F"/>
      </w:tcPr>
    </w:tblStylePr>
    <w:tblStylePr w:type="band1Horz">
      <w:tblPr/>
      <w:tcPr>
        <w:tcBorders>
          <w:insideH w:val="single" w:sz="6" w:space="0" w:color="5F5F5F" w:themeColor="accent3"/>
          <w:insideV w:val="single" w:sz="6" w:space="0" w:color="5F5F5F" w:themeColor="accent3"/>
        </w:tcBorders>
        <w:shd w:val="clear" w:color="auto" w:fill="AFAFAF" w:themeFill="accent3" w:themeFillTint="7F"/>
      </w:tcPr>
    </w:tblStylePr>
    <w:tblStylePr w:type="nwCell">
      <w:tblPr/>
      <w:tcPr>
        <w:shd w:val="clear" w:color="auto" w:fill="0072BC" w:themeFill="background1"/>
      </w:tcPr>
    </w:tblStylePr>
  </w:style>
  <w:style w:type="table" w:styleId="MediumGrid2-Accent4">
    <w:name w:val="Medium Grid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cPr>
      <w:shd w:val="clear" w:color="auto" w:fill="E5E5E5" w:themeFill="accent4" w:themeFillTint="3F"/>
    </w:tcPr>
    <w:tblStylePr w:type="firstRow">
      <w:rPr>
        <w:b/>
        <w:bCs/>
        <w:color w:val="000000" w:themeColor="text1"/>
      </w:rPr>
      <w:tblPr/>
      <w:tcPr>
        <w:shd w:val="clear" w:color="auto" w:fill="F4F4F4"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4" w:themeFillTint="33"/>
      </w:tcPr>
    </w:tblStylePr>
    <w:tblStylePr w:type="band1Vert">
      <w:tblPr/>
      <w:tcPr>
        <w:shd w:val="clear" w:color="auto" w:fill="CACACA" w:themeFill="accent4" w:themeFillTint="7F"/>
      </w:tcPr>
    </w:tblStylePr>
    <w:tblStylePr w:type="band1Horz">
      <w:tblPr/>
      <w:tcPr>
        <w:tcBorders>
          <w:insideH w:val="single" w:sz="6" w:space="0" w:color="969696" w:themeColor="accent4"/>
          <w:insideV w:val="single" w:sz="6" w:space="0" w:color="969696" w:themeColor="accent4"/>
        </w:tcBorders>
        <w:shd w:val="clear" w:color="auto" w:fill="CACACA" w:themeFill="accent4" w:themeFillTint="7F"/>
      </w:tcPr>
    </w:tblStylePr>
    <w:tblStylePr w:type="nwCell">
      <w:tblPr/>
      <w:tcPr>
        <w:shd w:val="clear" w:color="auto" w:fill="0072BC" w:themeFill="background1"/>
      </w:tcPr>
    </w:tblStylePr>
  </w:style>
  <w:style w:type="table" w:styleId="MediumGrid2-Accent5">
    <w:name w:val="Medium Grid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0072BC" w:themeFill="background1"/>
      </w:tcPr>
    </w:tblStylePr>
  </w:style>
  <w:style w:type="table" w:styleId="MediumGrid2-Accent6">
    <w:name w:val="Medium Grid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0072BC" w:themeFill="background1"/>
      </w:tcPr>
    </w:tblStylePr>
  </w:style>
  <w:style w:type="table" w:styleId="MediumGrid3">
    <w:name w:val="Medium Grid 3"/>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C0C0C0" w:themeFill="tex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0000" w:themeFill="tex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0000" w:themeFill="tex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808080" w:themeFill="tex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808080" w:themeFill="text1" w:themeFillTint="7F"/>
      </w:tcPr>
    </w:tblStylePr>
  </w:style>
  <w:style w:type="table" w:styleId="MediumGrid3-Accent1">
    <w:name w:val="Medium Grid 3 Accent 1"/>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AFDFFF" w:themeFill="accen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72BC" w:themeFill="accen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72BC" w:themeFill="accen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5EBFFF" w:themeFill="accen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5EBFFF" w:themeFill="accent1" w:themeFillTint="7F"/>
      </w:tcPr>
    </w:tblStylePr>
  </w:style>
  <w:style w:type="table" w:styleId="MediumGrid3-Accent2">
    <w:name w:val="Medium Grid 3 Accent 2"/>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FFB0B0" w:themeFill="accent2"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C00000" w:themeFill="accent2"/>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C00000" w:themeFill="accent2"/>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FF6060" w:themeFill="accent2"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FF6060" w:themeFill="accent2" w:themeFillTint="7F"/>
      </w:tcPr>
    </w:tblStylePr>
  </w:style>
  <w:style w:type="table" w:styleId="MediumGrid3-Accent3">
    <w:name w:val="Medium Grid 3 Accent 3"/>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3"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3"/>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3"/>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3"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3" w:themeFillTint="7F"/>
      </w:tcPr>
    </w:tblStylePr>
  </w:style>
  <w:style w:type="table" w:styleId="MediumGrid3-Accent4">
    <w:name w:val="Medium Grid 3 Accent 4"/>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E5E5E5" w:themeFill="accent4"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969696" w:themeFill="accent4"/>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969696" w:themeFill="accent4"/>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CACACA" w:themeFill="accent4"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CACACA" w:themeFill="accent4" w:themeFillTint="7F"/>
      </w:tcPr>
    </w:tblStylePr>
  </w:style>
  <w:style w:type="table" w:styleId="MediumGrid3-Accent5">
    <w:name w:val="Medium Grid 3 Accent 5"/>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5"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5"/>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5"/>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5"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5" w:themeFillTint="7F"/>
      </w:tcPr>
    </w:tblStylePr>
  </w:style>
  <w:style w:type="table" w:styleId="MediumGrid3-Accent6">
    <w:name w:val="Medium Grid 3 Accent 6"/>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3D3D3" w:themeFill="accent6"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4D4D4D" w:themeFill="accent6"/>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4D4D4D" w:themeFill="accent6"/>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6A6A6" w:themeFill="accent6"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6A6A6" w:themeFill="accent6" w:themeFillTint="7F"/>
      </w:tcPr>
    </w:tblStylePr>
  </w:style>
  <w:style w:type="table" w:styleId="MediumList1">
    <w:name w:val="Medium List 1"/>
    <w:basedOn w:val="TableNormal"/>
    <w:uiPriority w:val="99"/>
    <w:semiHidden/>
    <w:rsid w:val="00014566"/>
    <w:rPr>
      <w:color w:val="000000" w:themeColor="text1"/>
      <w:lang w:val="fr-FR" w:eastAsia="fr-FR"/>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C6C6C6"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9"/>
    <w:semiHidden/>
    <w:rsid w:val="00014566"/>
    <w:rPr>
      <w:color w:val="000000" w:themeColor="text1"/>
      <w:lang w:val="fr-FR" w:eastAsia="fr-FR"/>
    </w:rPr>
    <w:tblPr>
      <w:tblStyleRowBandSize w:val="1"/>
      <w:tblStyleColBandSize w:val="1"/>
      <w:tblBorders>
        <w:top w:val="single" w:sz="8" w:space="0" w:color="0072BC" w:themeColor="accent1"/>
        <w:bottom w:val="single" w:sz="8" w:space="0" w:color="0072BC" w:themeColor="accent1"/>
      </w:tblBorders>
    </w:tblPr>
    <w:tblStylePr w:type="firstRow">
      <w:rPr>
        <w:rFonts w:asciiTheme="majorHAnsi" w:eastAsiaTheme="majorEastAsia" w:hAnsiTheme="majorHAnsi" w:cstheme="majorBidi"/>
      </w:rPr>
      <w:tblPr/>
      <w:tcPr>
        <w:tcBorders>
          <w:top w:val="nil"/>
          <w:bottom w:val="single" w:sz="8" w:space="0" w:color="0072BC" w:themeColor="accent1"/>
        </w:tcBorders>
      </w:tcPr>
    </w:tblStylePr>
    <w:tblStylePr w:type="lastRow">
      <w:rPr>
        <w:b/>
        <w:bCs/>
        <w:color w:val="C6C6C6" w:themeColor="text2"/>
      </w:rPr>
      <w:tblPr/>
      <w:tcPr>
        <w:tcBorders>
          <w:top w:val="single" w:sz="8" w:space="0" w:color="0072BC" w:themeColor="accent1"/>
          <w:bottom w:val="single" w:sz="8" w:space="0" w:color="0072BC" w:themeColor="accent1"/>
        </w:tcBorders>
      </w:tcPr>
    </w:tblStylePr>
    <w:tblStylePr w:type="firstCol">
      <w:rPr>
        <w:b/>
        <w:bCs/>
      </w:rPr>
    </w:tblStylePr>
    <w:tblStylePr w:type="lastCol">
      <w:rPr>
        <w:b/>
        <w:bCs/>
      </w:rPr>
      <w:tblPr/>
      <w:tcPr>
        <w:tcBorders>
          <w:top w:val="single" w:sz="8" w:space="0" w:color="0072BC" w:themeColor="accent1"/>
          <w:bottom w:val="single" w:sz="8" w:space="0" w:color="0072BC" w:themeColor="accent1"/>
        </w:tcBorders>
      </w:tcPr>
    </w:tblStylePr>
    <w:tblStylePr w:type="band1Vert">
      <w:tblPr/>
      <w:tcPr>
        <w:shd w:val="clear" w:color="auto" w:fill="AFDFFF" w:themeFill="accent1" w:themeFillTint="3F"/>
      </w:tcPr>
    </w:tblStylePr>
    <w:tblStylePr w:type="band1Horz">
      <w:tblPr/>
      <w:tcPr>
        <w:shd w:val="clear" w:color="auto" w:fill="AFDFFF" w:themeFill="accent1" w:themeFillTint="3F"/>
      </w:tcPr>
    </w:tblStylePr>
  </w:style>
  <w:style w:type="table" w:styleId="MediumList1-Accent2">
    <w:name w:val="Medium List 1 Accent 2"/>
    <w:basedOn w:val="TableNormal"/>
    <w:uiPriority w:val="99"/>
    <w:semiHidden/>
    <w:rsid w:val="00014566"/>
    <w:rPr>
      <w:color w:val="000000" w:themeColor="text1"/>
      <w:lang w:val="fr-FR" w:eastAsia="fr-FR"/>
    </w:rPr>
    <w:tblPr>
      <w:tblStyleRowBandSize w:val="1"/>
      <w:tblStyleColBandSize w:val="1"/>
      <w:tblBorders>
        <w:top w:val="single" w:sz="8" w:space="0" w:color="C00000" w:themeColor="accent2"/>
        <w:bottom w:val="single" w:sz="8" w:space="0" w:color="C00000" w:themeColor="accent2"/>
      </w:tblBorders>
    </w:tblPr>
    <w:tblStylePr w:type="firstRow">
      <w:rPr>
        <w:rFonts w:asciiTheme="majorHAnsi" w:eastAsiaTheme="majorEastAsia" w:hAnsiTheme="majorHAnsi" w:cstheme="majorBidi"/>
      </w:rPr>
      <w:tblPr/>
      <w:tcPr>
        <w:tcBorders>
          <w:top w:val="nil"/>
          <w:bottom w:val="single" w:sz="8" w:space="0" w:color="C00000" w:themeColor="accent2"/>
        </w:tcBorders>
      </w:tcPr>
    </w:tblStylePr>
    <w:tblStylePr w:type="lastRow">
      <w:rPr>
        <w:b/>
        <w:bCs/>
        <w:color w:val="C6C6C6" w:themeColor="text2"/>
      </w:rPr>
      <w:tblPr/>
      <w:tcPr>
        <w:tcBorders>
          <w:top w:val="single" w:sz="8" w:space="0" w:color="C00000" w:themeColor="accent2"/>
          <w:bottom w:val="single" w:sz="8" w:space="0" w:color="C00000" w:themeColor="accent2"/>
        </w:tcBorders>
      </w:tcPr>
    </w:tblStylePr>
    <w:tblStylePr w:type="firstCol">
      <w:rPr>
        <w:b/>
        <w:bCs/>
      </w:rPr>
    </w:tblStylePr>
    <w:tblStylePr w:type="lastCol">
      <w:rPr>
        <w:b/>
        <w:bCs/>
      </w:rPr>
      <w:tblPr/>
      <w:tcPr>
        <w:tcBorders>
          <w:top w:val="single" w:sz="8" w:space="0" w:color="C00000" w:themeColor="accent2"/>
          <w:bottom w:val="single" w:sz="8" w:space="0" w:color="C00000" w:themeColor="accent2"/>
        </w:tcBorders>
      </w:tcPr>
    </w:tblStylePr>
    <w:tblStylePr w:type="band1Vert">
      <w:tblPr/>
      <w:tcPr>
        <w:shd w:val="clear" w:color="auto" w:fill="FFB0B0" w:themeFill="accent2" w:themeFillTint="3F"/>
      </w:tcPr>
    </w:tblStylePr>
    <w:tblStylePr w:type="band1Horz">
      <w:tblPr/>
      <w:tcPr>
        <w:shd w:val="clear" w:color="auto" w:fill="FFB0B0" w:themeFill="accent2" w:themeFillTint="3F"/>
      </w:tcPr>
    </w:tblStylePr>
  </w:style>
  <w:style w:type="table" w:styleId="MediumList1-Accent3">
    <w:name w:val="Medium List 1 Accent 3"/>
    <w:basedOn w:val="TableNormal"/>
    <w:uiPriority w:val="99"/>
    <w:semiHidden/>
    <w:rsid w:val="00014566"/>
    <w:rPr>
      <w:color w:val="000000" w:themeColor="text1"/>
      <w:lang w:val="fr-FR" w:eastAsia="fr-FR"/>
    </w:rPr>
    <w:tblPr>
      <w:tblStyleRowBandSize w:val="1"/>
      <w:tblStyleColBandSize w:val="1"/>
      <w:tblBorders>
        <w:top w:val="single" w:sz="8" w:space="0" w:color="5F5F5F" w:themeColor="accent3"/>
        <w:bottom w:val="single" w:sz="8" w:space="0" w:color="5F5F5F" w:themeColor="accent3"/>
      </w:tblBorders>
    </w:tblPr>
    <w:tblStylePr w:type="firstRow">
      <w:rPr>
        <w:rFonts w:asciiTheme="majorHAnsi" w:eastAsiaTheme="majorEastAsia" w:hAnsiTheme="majorHAnsi" w:cstheme="majorBidi"/>
      </w:rPr>
      <w:tblPr/>
      <w:tcPr>
        <w:tcBorders>
          <w:top w:val="nil"/>
          <w:bottom w:val="single" w:sz="8" w:space="0" w:color="5F5F5F" w:themeColor="accent3"/>
        </w:tcBorders>
      </w:tcPr>
    </w:tblStylePr>
    <w:tblStylePr w:type="lastRow">
      <w:rPr>
        <w:b/>
        <w:bCs/>
        <w:color w:val="C6C6C6" w:themeColor="text2"/>
      </w:rPr>
      <w:tblPr/>
      <w:tcPr>
        <w:tcBorders>
          <w:top w:val="single" w:sz="8" w:space="0" w:color="5F5F5F" w:themeColor="accent3"/>
          <w:bottom w:val="single" w:sz="8" w:space="0" w:color="5F5F5F" w:themeColor="accent3"/>
        </w:tcBorders>
      </w:tcPr>
    </w:tblStylePr>
    <w:tblStylePr w:type="firstCol">
      <w:rPr>
        <w:b/>
        <w:bCs/>
      </w:rPr>
    </w:tblStylePr>
    <w:tblStylePr w:type="lastCol">
      <w:rPr>
        <w:b/>
        <w:bCs/>
      </w:rPr>
      <w:tblPr/>
      <w:tcPr>
        <w:tcBorders>
          <w:top w:val="single" w:sz="8" w:space="0" w:color="5F5F5F" w:themeColor="accent3"/>
          <w:bottom w:val="single" w:sz="8" w:space="0" w:color="5F5F5F" w:themeColor="accent3"/>
        </w:tcBorders>
      </w:tcPr>
    </w:tblStylePr>
    <w:tblStylePr w:type="band1Vert">
      <w:tblPr/>
      <w:tcPr>
        <w:shd w:val="clear" w:color="auto" w:fill="D7D7D7" w:themeFill="accent3" w:themeFillTint="3F"/>
      </w:tcPr>
    </w:tblStylePr>
    <w:tblStylePr w:type="band1Horz">
      <w:tblPr/>
      <w:tcPr>
        <w:shd w:val="clear" w:color="auto" w:fill="D7D7D7" w:themeFill="accent3" w:themeFillTint="3F"/>
      </w:tcPr>
    </w:tblStylePr>
  </w:style>
  <w:style w:type="table" w:styleId="MediumList1-Accent4">
    <w:name w:val="Medium List 1 Accent 4"/>
    <w:basedOn w:val="TableNormal"/>
    <w:uiPriority w:val="99"/>
    <w:semiHidden/>
    <w:rsid w:val="00014566"/>
    <w:rPr>
      <w:color w:val="000000" w:themeColor="text1"/>
      <w:lang w:val="fr-FR" w:eastAsia="fr-FR"/>
    </w:rPr>
    <w:tblPr>
      <w:tblStyleRowBandSize w:val="1"/>
      <w:tblStyleColBandSize w:val="1"/>
      <w:tblBorders>
        <w:top w:val="single" w:sz="8" w:space="0" w:color="969696" w:themeColor="accent4"/>
        <w:bottom w:val="single" w:sz="8" w:space="0" w:color="969696" w:themeColor="accent4"/>
      </w:tblBorders>
    </w:tblPr>
    <w:tblStylePr w:type="firstRow">
      <w:rPr>
        <w:rFonts w:asciiTheme="majorHAnsi" w:eastAsiaTheme="majorEastAsia" w:hAnsiTheme="majorHAnsi" w:cstheme="majorBidi"/>
      </w:rPr>
      <w:tblPr/>
      <w:tcPr>
        <w:tcBorders>
          <w:top w:val="nil"/>
          <w:bottom w:val="single" w:sz="8" w:space="0" w:color="969696" w:themeColor="accent4"/>
        </w:tcBorders>
      </w:tcPr>
    </w:tblStylePr>
    <w:tblStylePr w:type="lastRow">
      <w:rPr>
        <w:b/>
        <w:bCs/>
        <w:color w:val="C6C6C6" w:themeColor="text2"/>
      </w:rPr>
      <w:tblPr/>
      <w:tcPr>
        <w:tcBorders>
          <w:top w:val="single" w:sz="8" w:space="0" w:color="969696" w:themeColor="accent4"/>
          <w:bottom w:val="single" w:sz="8" w:space="0" w:color="969696" w:themeColor="accent4"/>
        </w:tcBorders>
      </w:tcPr>
    </w:tblStylePr>
    <w:tblStylePr w:type="firstCol">
      <w:rPr>
        <w:b/>
        <w:bCs/>
      </w:rPr>
    </w:tblStylePr>
    <w:tblStylePr w:type="lastCol">
      <w:rPr>
        <w:b/>
        <w:bCs/>
      </w:rPr>
      <w:tblPr/>
      <w:tcPr>
        <w:tcBorders>
          <w:top w:val="single" w:sz="8" w:space="0" w:color="969696" w:themeColor="accent4"/>
          <w:bottom w:val="single" w:sz="8" w:space="0" w:color="969696" w:themeColor="accent4"/>
        </w:tcBorders>
      </w:tcPr>
    </w:tblStylePr>
    <w:tblStylePr w:type="band1Vert">
      <w:tblPr/>
      <w:tcPr>
        <w:shd w:val="clear" w:color="auto" w:fill="E5E5E5" w:themeFill="accent4" w:themeFillTint="3F"/>
      </w:tcPr>
    </w:tblStylePr>
    <w:tblStylePr w:type="band1Horz">
      <w:tblPr/>
      <w:tcPr>
        <w:shd w:val="clear" w:color="auto" w:fill="E5E5E5" w:themeFill="accent4" w:themeFillTint="3F"/>
      </w:tcPr>
    </w:tblStylePr>
  </w:style>
  <w:style w:type="table" w:styleId="MediumList1-Accent5">
    <w:name w:val="Medium List 1 Accent 5"/>
    <w:basedOn w:val="TableNormal"/>
    <w:uiPriority w:val="99"/>
    <w:semiHidden/>
    <w:rsid w:val="00014566"/>
    <w:rPr>
      <w:color w:val="000000" w:themeColor="text1"/>
      <w:lang w:val="fr-FR" w:eastAsia="fr-FR"/>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C6C6C6"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99"/>
    <w:semiHidden/>
    <w:rsid w:val="00014566"/>
    <w:rPr>
      <w:color w:val="000000" w:themeColor="text1"/>
      <w:lang w:val="fr-FR" w:eastAsia="fr-FR"/>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C6C6C6"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0072BC" w:themeFill="background1"/>
      </w:tcPr>
    </w:tblStylePr>
    <w:tblStylePr w:type="lastRow">
      <w:tblPr/>
      <w:tcPr>
        <w:tcBorders>
          <w:top w:val="single" w:sz="8" w:space="0" w:color="000000" w:themeColor="tex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0000" w:themeColor="text1"/>
          <w:insideH w:val="nil"/>
          <w:insideV w:val="nil"/>
        </w:tcBorders>
        <w:shd w:val="clear" w:color="auto" w:fill="0072BC" w:themeFill="background1"/>
      </w:tcPr>
    </w:tblStylePr>
    <w:tblStylePr w:type="lastCol">
      <w:tblPr/>
      <w:tcPr>
        <w:tcBorders>
          <w:top w:val="nil"/>
          <w:left w:val="single" w:sz="8" w:space="0" w:color="000000" w:themeColor="tex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1">
    <w:name w:val="Medium List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rPr>
        <w:sz w:val="24"/>
        <w:szCs w:val="24"/>
      </w:rPr>
      <w:tblPr/>
      <w:tcPr>
        <w:tcBorders>
          <w:top w:val="nil"/>
          <w:left w:val="nil"/>
          <w:bottom w:val="single" w:sz="24" w:space="0" w:color="0072BC" w:themeColor="accent1"/>
          <w:right w:val="nil"/>
          <w:insideH w:val="nil"/>
          <w:insideV w:val="nil"/>
        </w:tcBorders>
        <w:shd w:val="clear" w:color="auto" w:fill="0072BC" w:themeFill="background1"/>
      </w:tcPr>
    </w:tblStylePr>
    <w:tblStylePr w:type="lastRow">
      <w:tblPr/>
      <w:tcPr>
        <w:tcBorders>
          <w:top w:val="single" w:sz="8" w:space="0" w:color="0072BC" w:themeColor="accen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72BC" w:themeColor="accent1"/>
          <w:insideH w:val="nil"/>
          <w:insideV w:val="nil"/>
        </w:tcBorders>
        <w:shd w:val="clear" w:color="auto" w:fill="0072BC" w:themeFill="background1"/>
      </w:tcPr>
    </w:tblStylePr>
    <w:tblStylePr w:type="lastCol">
      <w:tblPr/>
      <w:tcPr>
        <w:tcBorders>
          <w:top w:val="nil"/>
          <w:left w:val="single" w:sz="8" w:space="0" w:color="0072BC" w:themeColor="accen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top w:val="nil"/>
          <w:bottom w:val="nil"/>
          <w:insideH w:val="nil"/>
          <w:insideV w:val="nil"/>
        </w:tcBorders>
        <w:shd w:val="clear" w:color="auto" w:fill="AFDFFF" w:themeFill="accen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2">
    <w:name w:val="Medium List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rPr>
        <w:sz w:val="24"/>
        <w:szCs w:val="24"/>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tblPr/>
      <w:tcPr>
        <w:tcBorders>
          <w:top w:val="single" w:sz="8" w:space="0" w:color="C00000" w:themeColor="accent2"/>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C00000" w:themeColor="accent2"/>
          <w:insideH w:val="nil"/>
          <w:insideV w:val="nil"/>
        </w:tcBorders>
        <w:shd w:val="clear" w:color="auto" w:fill="0072BC" w:themeFill="background1"/>
      </w:tcPr>
    </w:tblStylePr>
    <w:tblStylePr w:type="lastCol">
      <w:tblPr/>
      <w:tcPr>
        <w:tcBorders>
          <w:top w:val="nil"/>
          <w:left w:val="single" w:sz="8" w:space="0" w:color="C00000" w:themeColor="accent2"/>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top w:val="nil"/>
          <w:bottom w:val="nil"/>
          <w:insideH w:val="nil"/>
          <w:insideV w:val="nil"/>
        </w:tcBorders>
        <w:shd w:val="clear" w:color="auto" w:fill="FFB0B0" w:themeFill="accent2"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3">
    <w:name w:val="Medium List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rPr>
        <w:sz w:val="24"/>
        <w:szCs w:val="24"/>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tblPr/>
      <w:tcPr>
        <w:tcBorders>
          <w:top w:val="single" w:sz="8" w:space="0" w:color="5F5F5F" w:themeColor="accent3"/>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3"/>
          <w:insideH w:val="nil"/>
          <w:insideV w:val="nil"/>
        </w:tcBorders>
        <w:shd w:val="clear" w:color="auto" w:fill="0072BC" w:themeFill="background1"/>
      </w:tcPr>
    </w:tblStylePr>
    <w:tblStylePr w:type="lastCol">
      <w:tblPr/>
      <w:tcPr>
        <w:tcBorders>
          <w:top w:val="nil"/>
          <w:left w:val="single" w:sz="8" w:space="0" w:color="5F5F5F" w:themeColor="accent3"/>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top w:val="nil"/>
          <w:bottom w:val="nil"/>
          <w:insideH w:val="nil"/>
          <w:insideV w:val="nil"/>
        </w:tcBorders>
        <w:shd w:val="clear" w:color="auto" w:fill="D7D7D7" w:themeFill="accent3"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4">
    <w:name w:val="Medium List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rPr>
        <w:sz w:val="24"/>
        <w:szCs w:val="24"/>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tblPr/>
      <w:tcPr>
        <w:tcBorders>
          <w:top w:val="single" w:sz="8" w:space="0" w:color="969696" w:themeColor="accent4"/>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969696" w:themeColor="accent4"/>
          <w:insideH w:val="nil"/>
          <w:insideV w:val="nil"/>
        </w:tcBorders>
        <w:shd w:val="clear" w:color="auto" w:fill="0072BC" w:themeFill="background1"/>
      </w:tcPr>
    </w:tblStylePr>
    <w:tblStylePr w:type="lastCol">
      <w:tblPr/>
      <w:tcPr>
        <w:tcBorders>
          <w:top w:val="nil"/>
          <w:left w:val="single" w:sz="8" w:space="0" w:color="969696" w:themeColor="accent4"/>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top w:val="nil"/>
          <w:bottom w:val="nil"/>
          <w:insideH w:val="nil"/>
          <w:insideV w:val="nil"/>
        </w:tcBorders>
        <w:shd w:val="clear" w:color="auto" w:fill="E5E5E5" w:themeFill="accent4"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5">
    <w:name w:val="Medium List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tblPr/>
      <w:tcPr>
        <w:tcBorders>
          <w:top w:val="single" w:sz="8" w:space="0" w:color="5F5F5F" w:themeColor="accent5"/>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5"/>
          <w:insideH w:val="nil"/>
          <w:insideV w:val="nil"/>
        </w:tcBorders>
        <w:shd w:val="clear" w:color="auto" w:fill="0072BC" w:themeFill="background1"/>
      </w:tcPr>
    </w:tblStylePr>
    <w:tblStylePr w:type="lastCol">
      <w:tblPr/>
      <w:tcPr>
        <w:tcBorders>
          <w:top w:val="nil"/>
          <w:left w:val="single" w:sz="8" w:space="0" w:color="5F5F5F" w:themeColor="accent5"/>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6">
    <w:name w:val="Medium List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tblPr/>
      <w:tcPr>
        <w:tcBorders>
          <w:top w:val="single" w:sz="8" w:space="0" w:color="4D4D4D" w:themeColor="accent6"/>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4D4D4D" w:themeColor="accent6"/>
          <w:insideH w:val="nil"/>
          <w:insideV w:val="nil"/>
        </w:tcBorders>
        <w:shd w:val="clear" w:color="auto" w:fill="0072BC" w:themeFill="background1"/>
      </w:tcPr>
    </w:tblStylePr>
    <w:tblStylePr w:type="lastCol">
      <w:tblPr/>
      <w:tcPr>
        <w:tcBorders>
          <w:top w:val="nil"/>
          <w:left w:val="single" w:sz="8" w:space="0" w:color="4D4D4D" w:themeColor="accent6"/>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Shading1">
    <w:name w:val="Medium Shading 1"/>
    <w:basedOn w:val="TableNormal"/>
    <w:uiPriority w:val="99"/>
    <w:semiHidden/>
    <w:rsid w:val="00014566"/>
    <w:rPr>
      <w:lang w:val="fr-FR" w:eastAsia="fr-F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0072BC"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9"/>
    <w:semiHidden/>
    <w:rsid w:val="00014566"/>
    <w:rPr>
      <w:lang w:val="fr-FR" w:eastAsia="fr-FR"/>
    </w:rPr>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tblBorders>
    </w:tblPr>
    <w:tblStylePr w:type="firstRow">
      <w:pPr>
        <w:spacing w:before="0" w:after="0" w:line="240" w:lineRule="auto"/>
      </w:pPr>
      <w:rPr>
        <w:b/>
        <w:bCs/>
        <w:color w:val="0072BC" w:themeColor="background1"/>
      </w:rPr>
      <w:tblPr/>
      <w:tcPr>
        <w:tc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shd w:val="clear" w:color="auto" w:fill="0072BC" w:themeFill="accent1"/>
      </w:tcPr>
    </w:tblStylePr>
    <w:tblStylePr w:type="lastRow">
      <w:pPr>
        <w:spacing w:before="0" w:after="0" w:line="240" w:lineRule="auto"/>
      </w:pPr>
      <w:rPr>
        <w:b/>
        <w:bCs/>
      </w:rPr>
      <w:tblPr/>
      <w:tcPr>
        <w:tcBorders>
          <w:top w:val="double" w:sz="6"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AFDFFF" w:themeFill="accent1" w:themeFillTint="3F"/>
      </w:tcPr>
    </w:tblStylePr>
    <w:tblStylePr w:type="band1Horz">
      <w:tblPr/>
      <w:tcPr>
        <w:tcBorders>
          <w:insideH w:val="nil"/>
          <w:insideV w:val="nil"/>
        </w:tcBorders>
        <w:shd w:val="clear" w:color="auto" w:fill="AFDF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9"/>
    <w:semiHidden/>
    <w:rsid w:val="00014566"/>
    <w:rPr>
      <w:lang w:val="fr-FR" w:eastAsia="fr-FR"/>
    </w:rPr>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tblBorders>
    </w:tblPr>
    <w:tblStylePr w:type="firstRow">
      <w:pPr>
        <w:spacing w:before="0" w:after="0" w:line="240" w:lineRule="auto"/>
      </w:pPr>
      <w:rPr>
        <w:b/>
        <w:bCs/>
        <w:color w:val="0072BC" w:themeColor="background1"/>
      </w:rPr>
      <w:tblPr/>
      <w:tcPr>
        <w:tc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shd w:val="clear" w:color="auto" w:fill="C00000" w:themeFill="accent2"/>
      </w:tcPr>
    </w:tblStylePr>
    <w:tblStylePr w:type="lastRow">
      <w:pPr>
        <w:spacing w:before="0" w:after="0" w:line="240" w:lineRule="auto"/>
      </w:pPr>
      <w:rPr>
        <w:b/>
        <w:bCs/>
      </w:rPr>
      <w:tblPr/>
      <w:tcPr>
        <w:tcBorders>
          <w:top w:val="double" w:sz="6"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B0B0" w:themeFill="accent2" w:themeFillTint="3F"/>
      </w:tcPr>
    </w:tblStylePr>
    <w:tblStylePr w:type="band1Horz">
      <w:tblPr/>
      <w:tcPr>
        <w:tcBorders>
          <w:insideH w:val="nil"/>
          <w:insideV w:val="nil"/>
        </w:tcBorders>
        <w:shd w:val="clear" w:color="auto" w:fill="FFB0B0"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9"/>
    <w:semiHidden/>
    <w:rsid w:val="00014566"/>
    <w:rPr>
      <w:lang w:val="fr-FR" w:eastAsia="fr-FR"/>
    </w:rPr>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tblBorders>
    </w:tblPr>
    <w:tblStylePr w:type="firstRow">
      <w:pPr>
        <w:spacing w:before="0" w:after="0" w:line="240" w:lineRule="auto"/>
      </w:pPr>
      <w:rPr>
        <w:b/>
        <w:bCs/>
        <w:color w:val="0072BC" w:themeColor="background1"/>
      </w:rPr>
      <w:tblPr/>
      <w:tcPr>
        <w:tc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shd w:val="clear" w:color="auto" w:fill="5F5F5F" w:themeFill="accent3"/>
      </w:tcPr>
    </w:tblStylePr>
    <w:tblStylePr w:type="lastRow">
      <w:pPr>
        <w:spacing w:before="0" w:after="0" w:line="240" w:lineRule="auto"/>
      </w:pPr>
      <w:rPr>
        <w:b/>
        <w:bCs/>
      </w:rPr>
      <w:tblPr/>
      <w:tcPr>
        <w:tcBorders>
          <w:top w:val="double" w:sz="6"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3" w:themeFillTint="3F"/>
      </w:tcPr>
    </w:tblStylePr>
    <w:tblStylePr w:type="band1Horz">
      <w:tblPr/>
      <w:tcPr>
        <w:tcBorders>
          <w:insideH w:val="nil"/>
          <w:insideV w:val="nil"/>
        </w:tcBorders>
        <w:shd w:val="clear" w:color="auto" w:fill="D7D7D7"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9"/>
    <w:semiHidden/>
    <w:rsid w:val="00014566"/>
    <w:rPr>
      <w:lang w:val="fr-FR" w:eastAsia="fr-FR"/>
    </w:rPr>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tblBorders>
    </w:tblPr>
    <w:tblStylePr w:type="firstRow">
      <w:pPr>
        <w:spacing w:before="0" w:after="0" w:line="240" w:lineRule="auto"/>
      </w:pPr>
      <w:rPr>
        <w:b/>
        <w:bCs/>
        <w:color w:val="0072BC" w:themeColor="background1"/>
      </w:rPr>
      <w:tblPr/>
      <w:tcPr>
        <w:tc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shd w:val="clear" w:color="auto" w:fill="969696" w:themeFill="accent4"/>
      </w:tcPr>
    </w:tblStylePr>
    <w:tblStylePr w:type="lastRow">
      <w:pPr>
        <w:spacing w:before="0" w:after="0" w:line="240" w:lineRule="auto"/>
      </w:pPr>
      <w:rPr>
        <w:b/>
        <w:bCs/>
      </w:rPr>
      <w:tblPr/>
      <w:tcPr>
        <w:tcBorders>
          <w:top w:val="double" w:sz="6"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4" w:themeFillTint="3F"/>
      </w:tcPr>
    </w:tblStylePr>
    <w:tblStylePr w:type="band1Horz">
      <w:tblPr/>
      <w:tcPr>
        <w:tcBorders>
          <w:insideH w:val="nil"/>
          <w:insideV w:val="nil"/>
        </w:tcBorders>
        <w:shd w:val="clear" w:color="auto" w:fill="E5E5E5"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9"/>
    <w:semiHidden/>
    <w:rsid w:val="00014566"/>
    <w:rPr>
      <w:lang w:val="fr-FR" w:eastAsia="fr-FR"/>
    </w:r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0072BC"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9"/>
    <w:semiHidden/>
    <w:rsid w:val="00014566"/>
    <w:rPr>
      <w:lang w:val="fr-FR" w:eastAsia="fr-FR"/>
    </w:r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0072BC"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0072BC"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72B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72BC" w:themeFill="accent1"/>
      </w:tcPr>
    </w:tblStylePr>
    <w:tblStylePr w:type="lastCol">
      <w:rPr>
        <w:b/>
        <w:bCs/>
        <w:color w:val="0072BC" w:themeColor="background1"/>
      </w:rPr>
      <w:tblPr/>
      <w:tcPr>
        <w:tcBorders>
          <w:left w:val="nil"/>
          <w:right w:val="nil"/>
          <w:insideH w:val="nil"/>
          <w:insideV w:val="nil"/>
        </w:tcBorders>
        <w:shd w:val="clear" w:color="auto" w:fill="0072BC" w:themeFill="accen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C000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C00000" w:themeFill="accent2"/>
      </w:tcPr>
    </w:tblStylePr>
    <w:tblStylePr w:type="lastCol">
      <w:rPr>
        <w:b/>
        <w:bCs/>
        <w:color w:val="0072BC" w:themeColor="background1"/>
      </w:rPr>
      <w:tblPr/>
      <w:tcPr>
        <w:tcBorders>
          <w:left w:val="nil"/>
          <w:right w:val="nil"/>
          <w:insideH w:val="nil"/>
          <w:insideV w:val="nil"/>
        </w:tcBorders>
        <w:shd w:val="clear" w:color="auto" w:fill="C00000" w:themeFill="accent2"/>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3"/>
      </w:tcPr>
    </w:tblStylePr>
    <w:tblStylePr w:type="lastCol">
      <w:rPr>
        <w:b/>
        <w:bCs/>
        <w:color w:val="0072BC" w:themeColor="background1"/>
      </w:rPr>
      <w:tblPr/>
      <w:tcPr>
        <w:tcBorders>
          <w:left w:val="nil"/>
          <w:right w:val="nil"/>
          <w:insideH w:val="nil"/>
          <w:insideV w:val="nil"/>
        </w:tcBorders>
        <w:shd w:val="clear" w:color="auto" w:fill="5F5F5F" w:themeFill="accent3"/>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969696"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969696" w:themeFill="accent4"/>
      </w:tcPr>
    </w:tblStylePr>
    <w:tblStylePr w:type="lastCol">
      <w:rPr>
        <w:b/>
        <w:bCs/>
        <w:color w:val="0072BC" w:themeColor="background1"/>
      </w:rPr>
      <w:tblPr/>
      <w:tcPr>
        <w:tcBorders>
          <w:left w:val="nil"/>
          <w:right w:val="nil"/>
          <w:insideH w:val="nil"/>
          <w:insideV w:val="nil"/>
        </w:tcBorders>
        <w:shd w:val="clear" w:color="auto" w:fill="969696" w:themeFill="accent4"/>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0072BC"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0072BC"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01456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014566"/>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rsid w:val="00014566"/>
    <w:rPr>
      <w:rFonts w:ascii="Times New Roman" w:hAnsi="Times New Roman" w:cs="Times New Roman"/>
      <w:szCs w:val="24"/>
    </w:rPr>
  </w:style>
  <w:style w:type="paragraph" w:styleId="NormalIndent">
    <w:name w:val="Normal Indent"/>
    <w:basedOn w:val="Normal"/>
    <w:uiPriority w:val="99"/>
    <w:semiHidden/>
    <w:rsid w:val="00014566"/>
    <w:pPr>
      <w:ind w:left="720"/>
    </w:pPr>
  </w:style>
  <w:style w:type="paragraph" w:customStyle="1" w:styleId="OpiHi">
    <w:name w:val="Opi_H_i"/>
    <w:basedOn w:val="ECHRHeading4"/>
    <w:uiPriority w:val="44"/>
    <w:qFormat/>
    <w:rsid w:val="002935E9"/>
    <w:pPr>
      <w:ind w:left="1037" w:hanging="357"/>
      <w:outlineLvl w:val="4"/>
    </w:pPr>
    <w:rPr>
      <w:b w:val="0"/>
      <w:i/>
    </w:rPr>
  </w:style>
  <w:style w:type="paragraph" w:customStyle="1" w:styleId="OpiPara">
    <w:name w:val="Opi_Para"/>
    <w:basedOn w:val="ECHRPara"/>
    <w:uiPriority w:val="46"/>
    <w:qFormat/>
    <w:rsid w:val="002935E9"/>
  </w:style>
  <w:style w:type="character" w:styleId="PlaceholderText">
    <w:name w:val="Placeholder Text"/>
    <w:basedOn w:val="DefaultParagraphFont"/>
    <w:uiPriority w:val="99"/>
    <w:semiHidden/>
    <w:rsid w:val="002935E9"/>
    <w:rPr>
      <w:color w:val="auto"/>
      <w:bdr w:val="none" w:sz="0" w:space="0" w:color="auto"/>
      <w:shd w:val="clear" w:color="auto" w:fill="DFDFDF" w:themeFill="background2" w:themeFillShade="E6"/>
    </w:rPr>
  </w:style>
  <w:style w:type="paragraph" w:styleId="PlainText">
    <w:name w:val="Plain Text"/>
    <w:basedOn w:val="Normal"/>
    <w:link w:val="PlainTextChar"/>
    <w:uiPriority w:val="99"/>
    <w:semiHidden/>
    <w:rsid w:val="00014566"/>
    <w:rPr>
      <w:rFonts w:ascii="Consolas" w:hAnsi="Consolas" w:cs="Consolas"/>
      <w:sz w:val="21"/>
      <w:szCs w:val="21"/>
    </w:rPr>
  </w:style>
  <w:style w:type="character" w:customStyle="1" w:styleId="PlainTextChar">
    <w:name w:val="Plain Text Char"/>
    <w:basedOn w:val="DefaultParagraphFont"/>
    <w:link w:val="PlainText"/>
    <w:uiPriority w:val="99"/>
    <w:semiHidden/>
    <w:rsid w:val="00014566"/>
    <w:rPr>
      <w:rFonts w:ascii="Consolas" w:eastAsiaTheme="minorEastAsia" w:hAnsi="Consolas" w:cs="Consolas"/>
      <w:sz w:val="21"/>
      <w:szCs w:val="21"/>
    </w:rPr>
  </w:style>
  <w:style w:type="paragraph" w:styleId="Salutation">
    <w:name w:val="Salutation"/>
    <w:basedOn w:val="Normal"/>
    <w:next w:val="Normal"/>
    <w:link w:val="SalutationChar"/>
    <w:uiPriority w:val="99"/>
    <w:semiHidden/>
    <w:rsid w:val="00014566"/>
  </w:style>
  <w:style w:type="character" w:customStyle="1" w:styleId="SalutationChar">
    <w:name w:val="Salutation Char"/>
    <w:basedOn w:val="DefaultParagraphFont"/>
    <w:link w:val="Salutation"/>
    <w:uiPriority w:val="99"/>
    <w:semiHidden/>
    <w:rsid w:val="00014566"/>
    <w:rPr>
      <w:rFonts w:eastAsiaTheme="minorEastAsia"/>
      <w:sz w:val="24"/>
    </w:rPr>
  </w:style>
  <w:style w:type="paragraph" w:styleId="Signature">
    <w:name w:val="Signature"/>
    <w:basedOn w:val="Normal"/>
    <w:link w:val="SignatureChar"/>
    <w:uiPriority w:val="99"/>
    <w:semiHidden/>
    <w:rsid w:val="00014566"/>
    <w:pPr>
      <w:ind w:left="4252"/>
    </w:pPr>
  </w:style>
  <w:style w:type="character" w:customStyle="1" w:styleId="SignatureChar">
    <w:name w:val="Signature Char"/>
    <w:basedOn w:val="DefaultParagraphFont"/>
    <w:link w:val="Signature"/>
    <w:uiPriority w:val="99"/>
    <w:semiHidden/>
    <w:rsid w:val="00014566"/>
    <w:rPr>
      <w:rFonts w:eastAsiaTheme="minorEastAsia"/>
      <w:sz w:val="24"/>
    </w:rPr>
  </w:style>
  <w:style w:type="table" w:styleId="Table3Deffects1">
    <w:name w:val="Table 3D effects 1"/>
    <w:basedOn w:val="TableNormal"/>
    <w:uiPriority w:val="99"/>
    <w:semiHidden/>
    <w:rsid w:val="00014566"/>
    <w:pPr>
      <w:suppressAutoHyphens/>
    </w:pPr>
    <w:rPr>
      <w:lang w:val="fr-FR" w:eastAsia="fr-FR"/>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014566"/>
    <w:pPr>
      <w:suppressAutoHyphens/>
    </w:pPr>
    <w:rPr>
      <w:lang w:val="fr-FR" w:eastAsia="fr-F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014566"/>
    <w:pPr>
      <w:suppressAutoHyphens/>
    </w:pPr>
    <w:rPr>
      <w:lang w:val="fr-FR" w:eastAsia="fr-FR"/>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014566"/>
    <w:pPr>
      <w:suppressAutoHyphens/>
    </w:pPr>
    <w:rPr>
      <w:lang w:val="fr-FR" w:eastAsia="fr-F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014566"/>
    <w:pPr>
      <w:suppressAutoHyphens/>
    </w:pPr>
    <w:rPr>
      <w:lang w:val="fr-FR" w:eastAsia="fr-F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014566"/>
    <w:pPr>
      <w:suppressAutoHyphens/>
    </w:pPr>
    <w:rPr>
      <w:color w:val="000080"/>
      <w:lang w:val="fr-FR" w:eastAsia="fr-FR"/>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014566"/>
    <w:pPr>
      <w:suppressAutoHyphens/>
    </w:pPr>
    <w:rPr>
      <w:lang w:val="fr-FR" w:eastAsia="fr-FR"/>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014566"/>
    <w:pPr>
      <w:suppressAutoHyphens/>
    </w:pPr>
    <w:rPr>
      <w:color w:val="FFFFFF"/>
      <w:lang w:val="fr-FR" w:eastAsia="fr-F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014566"/>
    <w:pPr>
      <w:suppressAutoHyphens/>
    </w:pPr>
    <w:rPr>
      <w:lang w:val="fr-FR" w:eastAsia="fr-FR"/>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014566"/>
    <w:pPr>
      <w:suppressAutoHyphens/>
    </w:pPr>
    <w:rPr>
      <w:lang w:val="fr-FR" w:eastAsia="fr-FR"/>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014566"/>
    <w:pPr>
      <w:suppressAutoHyphens/>
    </w:pPr>
    <w:rPr>
      <w:b/>
      <w:bCs/>
      <w:lang w:val="fr-FR" w:eastAsia="fr-F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014566"/>
    <w:pPr>
      <w:suppressAutoHyphens/>
    </w:pPr>
    <w:rPr>
      <w:b/>
      <w:bCs/>
      <w:lang w:val="fr-FR" w:eastAsia="fr-FR"/>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014566"/>
    <w:pPr>
      <w:suppressAutoHyphens/>
    </w:pPr>
    <w:rPr>
      <w:b/>
      <w:bCs/>
      <w:lang w:val="fr-FR" w:eastAsia="fr-FR"/>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014566"/>
    <w:pPr>
      <w:suppressAutoHyphens/>
    </w:pPr>
    <w:rPr>
      <w:lang w:val="fr-FR" w:eastAsia="fr-FR"/>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rsid w:val="00014566"/>
    <w:pPr>
      <w:suppressAutoHyphens/>
    </w:pPr>
    <w:rPr>
      <w:lang w:val="fr-FR" w:eastAsia="fr-FR"/>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rsid w:val="00014566"/>
    <w:pPr>
      <w:suppressAutoHyphens/>
    </w:pPr>
    <w:rPr>
      <w:lang w:val="fr-FR" w:eastAsia="fr-FR"/>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014566"/>
    <w:pPr>
      <w:suppressAutoHyphens/>
    </w:pPr>
    <w:rPr>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014566"/>
    <w:pPr>
      <w:suppressAutoHyphens/>
    </w:pPr>
    <w:rPr>
      <w:lang w:val="fr-FR" w:eastAsia="fr-FR"/>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014566"/>
    <w:pPr>
      <w:suppressAutoHyphens/>
    </w:pPr>
    <w:rPr>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014566"/>
    <w:pPr>
      <w:suppressAutoHyphens/>
    </w:pPr>
    <w:rPr>
      <w:lang w:val="fr-FR" w:eastAsia="fr-FR"/>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rsid w:val="00014566"/>
    <w:pPr>
      <w:suppressAutoHyphens/>
    </w:pPr>
    <w:rPr>
      <w:b/>
      <w:bCs/>
      <w:lang w:val="fr-FR"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rsid w:val="00014566"/>
    <w:pPr>
      <w:suppressAutoHyphens/>
    </w:pPr>
    <w:rPr>
      <w:lang w:val="fr-FR" w:eastAsia="fr-F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014566"/>
    <w:pPr>
      <w:suppressAutoHyphens/>
    </w:pPr>
    <w:rPr>
      <w:lang w:val="fr-FR" w:eastAsia="fr-FR"/>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014566"/>
    <w:pPr>
      <w:suppressAutoHyphens/>
    </w:pPr>
    <w:rPr>
      <w:lang w:val="fr-FR" w:eastAsia="fr-FR"/>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014566"/>
    <w:pPr>
      <w:suppressAutoHyphens/>
    </w:pPr>
    <w:rPr>
      <w:lang w:val="fr-FR" w:eastAsia="fr-FR"/>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014566"/>
    <w:pPr>
      <w:suppressAutoHyphens/>
    </w:pPr>
    <w:rPr>
      <w:lang w:val="fr-FR" w:eastAsia="fr-FR"/>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014566"/>
    <w:pPr>
      <w:suppressAutoHyphens/>
    </w:pPr>
    <w:rPr>
      <w:lang w:val="fr-FR" w:eastAsia="fr-FR"/>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014566"/>
    <w:pPr>
      <w:suppressAutoHyphens/>
    </w:pPr>
    <w:rPr>
      <w:lang w:val="fr-FR" w:eastAsia="fr-F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014566"/>
    <w:pPr>
      <w:ind w:left="240" w:hanging="240"/>
    </w:pPr>
  </w:style>
  <w:style w:type="paragraph" w:styleId="TableofFigures">
    <w:name w:val="table of figures"/>
    <w:basedOn w:val="Normal"/>
    <w:next w:val="Normal"/>
    <w:uiPriority w:val="99"/>
    <w:semiHidden/>
    <w:rsid w:val="00014566"/>
  </w:style>
  <w:style w:type="table" w:styleId="TableProfessional">
    <w:name w:val="Table Professional"/>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014566"/>
    <w:pPr>
      <w:suppressAutoHyphens/>
    </w:pPr>
    <w:rPr>
      <w:lang w:val="fr-FR" w:eastAsia="fr-FR"/>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014566"/>
    <w:pPr>
      <w:suppressAutoHyphens/>
    </w:pPr>
    <w:rPr>
      <w:lang w:val="fr-FR" w:eastAsia="fr-FR"/>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014566"/>
    <w:pPr>
      <w:suppressAutoHyphens/>
    </w:pPr>
    <w:rPr>
      <w:lang w:val="fr-FR" w:eastAsia="fr-FR"/>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014566"/>
    <w:pPr>
      <w:suppressAutoHyphens/>
    </w:pPr>
    <w:rPr>
      <w:lang w:val="fr-FR" w:eastAsia="fr-FR"/>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014566"/>
    <w:pPr>
      <w:suppressAutoHyphens/>
    </w:pPr>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014566"/>
    <w:pPr>
      <w:suppressAutoHyphens/>
    </w:pPr>
    <w:rPr>
      <w:lang w:val="fr-FR" w:eastAsia="fr-FR"/>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014566"/>
    <w:pPr>
      <w:suppressAutoHyphens/>
    </w:pPr>
    <w:rPr>
      <w:lang w:val="fr-FR" w:eastAsia="fr-F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014566"/>
    <w:pPr>
      <w:suppressAutoHyphens/>
    </w:pPr>
    <w:rPr>
      <w:lang w:val="fr-FR" w:eastAsia="fr-FR"/>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6">
    <w:name w:val="toc 6"/>
    <w:basedOn w:val="Normal"/>
    <w:next w:val="Normal"/>
    <w:autoRedefine/>
    <w:uiPriority w:val="99"/>
    <w:semiHidden/>
    <w:rsid w:val="002935E9"/>
    <w:pPr>
      <w:tabs>
        <w:tab w:val="right" w:leader="dot" w:pos="7371"/>
      </w:tabs>
      <w:spacing w:after="60" w:line="240" w:lineRule="exact"/>
      <w:ind w:left="2041" w:right="567" w:hanging="340"/>
    </w:pPr>
    <w:rPr>
      <w:sz w:val="20"/>
    </w:rPr>
  </w:style>
  <w:style w:type="paragraph" w:styleId="TOC7">
    <w:name w:val="toc 7"/>
    <w:basedOn w:val="Normal"/>
    <w:next w:val="Normal"/>
    <w:autoRedefine/>
    <w:uiPriority w:val="99"/>
    <w:semiHidden/>
    <w:rsid w:val="002935E9"/>
    <w:pPr>
      <w:tabs>
        <w:tab w:val="right" w:leader="dot" w:pos="7371"/>
      </w:tabs>
      <w:spacing w:after="60" w:line="240" w:lineRule="exact"/>
      <w:ind w:left="2381" w:right="567" w:hanging="340"/>
    </w:pPr>
    <w:rPr>
      <w:sz w:val="20"/>
    </w:rPr>
  </w:style>
  <w:style w:type="paragraph" w:styleId="TOC8">
    <w:name w:val="toc 8"/>
    <w:basedOn w:val="Normal"/>
    <w:next w:val="Normal"/>
    <w:autoRedefine/>
    <w:uiPriority w:val="99"/>
    <w:semiHidden/>
    <w:rsid w:val="00014566"/>
    <w:pPr>
      <w:spacing w:after="100"/>
      <w:ind w:left="1680"/>
    </w:pPr>
  </w:style>
  <w:style w:type="paragraph" w:styleId="TOC9">
    <w:name w:val="toc 9"/>
    <w:basedOn w:val="Normal"/>
    <w:next w:val="Normal"/>
    <w:autoRedefine/>
    <w:uiPriority w:val="99"/>
    <w:semiHidden/>
    <w:rsid w:val="00014566"/>
    <w:pPr>
      <w:spacing w:after="100"/>
      <w:ind w:left="1920"/>
    </w:pPr>
  </w:style>
  <w:style w:type="paragraph" w:customStyle="1" w:styleId="OpiParaSub">
    <w:name w:val="Opi_Para_Sub"/>
    <w:basedOn w:val="JuParaSub"/>
    <w:uiPriority w:val="47"/>
    <w:qFormat/>
    <w:rsid w:val="002935E9"/>
  </w:style>
  <w:style w:type="paragraph" w:customStyle="1" w:styleId="OpiQuot">
    <w:name w:val="Opi_Quot"/>
    <w:basedOn w:val="ECHRParaQuote"/>
    <w:uiPriority w:val="48"/>
    <w:qFormat/>
    <w:rsid w:val="002935E9"/>
  </w:style>
  <w:style w:type="paragraph" w:customStyle="1" w:styleId="OpiQuotSub">
    <w:name w:val="Opi_Quot_Sub"/>
    <w:basedOn w:val="JuQuotSub"/>
    <w:uiPriority w:val="49"/>
    <w:qFormat/>
    <w:rsid w:val="002935E9"/>
  </w:style>
  <w:style w:type="paragraph" w:customStyle="1" w:styleId="OpiTranslation">
    <w:name w:val="Opi_Translation"/>
    <w:basedOn w:val="Normal"/>
    <w:next w:val="OpiPara"/>
    <w:uiPriority w:val="40"/>
    <w:qFormat/>
    <w:rsid w:val="002935E9"/>
    <w:pPr>
      <w:jc w:val="center"/>
      <w:outlineLvl w:val="0"/>
    </w:pPr>
    <w:rPr>
      <w:i/>
    </w:rPr>
  </w:style>
  <w:style w:type="paragraph" w:styleId="NoteHeading">
    <w:name w:val="Note Heading"/>
    <w:basedOn w:val="Normal"/>
    <w:next w:val="Normal"/>
    <w:link w:val="NoteHeadingChar"/>
    <w:uiPriority w:val="99"/>
    <w:semiHidden/>
    <w:rsid w:val="002935E9"/>
  </w:style>
  <w:style w:type="character" w:customStyle="1" w:styleId="NoteHeadingChar">
    <w:name w:val="Note Heading Char"/>
    <w:basedOn w:val="DefaultParagraphFont"/>
    <w:link w:val="NoteHeading"/>
    <w:uiPriority w:val="99"/>
    <w:semiHidden/>
    <w:rsid w:val="002935E9"/>
    <w:rPr>
      <w:rFonts w:eastAsiaTheme="minorEastAsia"/>
      <w:sz w:val="24"/>
      <w:lang w:val="en-GB"/>
    </w:rPr>
  </w:style>
  <w:style w:type="paragraph" w:customStyle="1" w:styleId="JuHeaderLandscape">
    <w:name w:val="Ju_Header_Landscape"/>
    <w:basedOn w:val="ECHRHeader"/>
    <w:uiPriority w:val="4"/>
    <w:qFormat/>
    <w:rsid w:val="002935E9"/>
    <w:pPr>
      <w:tabs>
        <w:tab w:val="clear" w:pos="3686"/>
        <w:tab w:val="clear" w:pos="7371"/>
        <w:tab w:val="center" w:pos="6146"/>
        <w:tab w:val="right" w:pos="12293"/>
      </w:tabs>
    </w:pPr>
  </w:style>
  <w:style w:type="character" w:customStyle="1" w:styleId="ECHRParaChar">
    <w:name w:val="ECHR_Para Char"/>
    <w:aliases w:val="Ju_Para Char"/>
    <w:link w:val="ECHRPara"/>
    <w:uiPriority w:val="12"/>
    <w:rsid w:val="000800AF"/>
    <w:rPr>
      <w:rFonts w:eastAsiaTheme="minorEastAsia"/>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56625">
      <w:bodyDiv w:val="1"/>
      <w:marLeft w:val="0"/>
      <w:marRight w:val="0"/>
      <w:marTop w:val="0"/>
      <w:marBottom w:val="0"/>
      <w:divBdr>
        <w:top w:val="none" w:sz="0" w:space="0" w:color="auto"/>
        <w:left w:val="none" w:sz="0" w:space="0" w:color="auto"/>
        <w:bottom w:val="none" w:sz="0" w:space="0" w:color="auto"/>
        <w:right w:val="none" w:sz="0" w:space="0" w:color="auto"/>
      </w:divBdr>
      <w:divsChild>
        <w:div w:id="1523082724">
          <w:marLeft w:val="0"/>
          <w:marRight w:val="0"/>
          <w:marTop w:val="0"/>
          <w:marBottom w:val="0"/>
          <w:divBdr>
            <w:top w:val="none" w:sz="0" w:space="0" w:color="auto"/>
            <w:left w:val="none" w:sz="0" w:space="0" w:color="auto"/>
            <w:bottom w:val="none" w:sz="0" w:space="0" w:color="auto"/>
            <w:right w:val="none" w:sz="0" w:space="0" w:color="auto"/>
          </w:divBdr>
          <w:divsChild>
            <w:div w:id="1133324246">
              <w:marLeft w:val="0"/>
              <w:marRight w:val="0"/>
              <w:marTop w:val="0"/>
              <w:marBottom w:val="0"/>
              <w:divBdr>
                <w:top w:val="none" w:sz="0" w:space="0" w:color="auto"/>
                <w:left w:val="none" w:sz="0" w:space="0" w:color="auto"/>
                <w:bottom w:val="none" w:sz="0" w:space="0" w:color="auto"/>
                <w:right w:val="none" w:sz="0" w:space="0" w:color="auto"/>
              </w:divBdr>
              <w:divsChild>
                <w:div w:id="157429598">
                  <w:marLeft w:val="0"/>
                  <w:marRight w:val="0"/>
                  <w:marTop w:val="0"/>
                  <w:marBottom w:val="0"/>
                  <w:divBdr>
                    <w:top w:val="none" w:sz="0" w:space="0" w:color="auto"/>
                    <w:left w:val="none" w:sz="0" w:space="0" w:color="auto"/>
                    <w:bottom w:val="none" w:sz="0" w:space="0" w:color="auto"/>
                    <w:right w:val="none" w:sz="0" w:space="0" w:color="auto"/>
                  </w:divBdr>
                  <w:divsChild>
                    <w:div w:id="1733655014">
                      <w:marLeft w:val="0"/>
                      <w:marRight w:val="0"/>
                      <w:marTop w:val="0"/>
                      <w:marBottom w:val="0"/>
                      <w:divBdr>
                        <w:top w:val="none" w:sz="0" w:space="0" w:color="auto"/>
                        <w:left w:val="none" w:sz="0" w:space="0" w:color="auto"/>
                        <w:bottom w:val="none" w:sz="0" w:space="0" w:color="auto"/>
                        <w:right w:val="none" w:sz="0" w:space="0" w:color="auto"/>
                      </w:divBdr>
                      <w:divsChild>
                        <w:div w:id="1054892742">
                          <w:marLeft w:val="0"/>
                          <w:marRight w:val="0"/>
                          <w:marTop w:val="0"/>
                          <w:marBottom w:val="0"/>
                          <w:divBdr>
                            <w:top w:val="none" w:sz="0" w:space="0" w:color="auto"/>
                            <w:left w:val="none" w:sz="0" w:space="0" w:color="auto"/>
                            <w:bottom w:val="none" w:sz="0" w:space="0" w:color="auto"/>
                            <w:right w:val="none" w:sz="0" w:space="0" w:color="auto"/>
                          </w:divBdr>
                          <w:divsChild>
                            <w:div w:id="1748264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506967">
      <w:bodyDiv w:val="1"/>
      <w:marLeft w:val="0"/>
      <w:marRight w:val="0"/>
      <w:marTop w:val="0"/>
      <w:marBottom w:val="0"/>
      <w:divBdr>
        <w:top w:val="none" w:sz="0" w:space="0" w:color="auto"/>
        <w:left w:val="none" w:sz="0" w:space="0" w:color="auto"/>
        <w:bottom w:val="none" w:sz="0" w:space="0" w:color="auto"/>
        <w:right w:val="none" w:sz="0" w:space="0" w:color="auto"/>
      </w:divBdr>
    </w:div>
    <w:div w:id="448083758">
      <w:bodyDiv w:val="1"/>
      <w:marLeft w:val="0"/>
      <w:marRight w:val="0"/>
      <w:marTop w:val="0"/>
      <w:marBottom w:val="0"/>
      <w:divBdr>
        <w:top w:val="none" w:sz="0" w:space="0" w:color="auto"/>
        <w:left w:val="none" w:sz="0" w:space="0" w:color="auto"/>
        <w:bottom w:val="none" w:sz="0" w:space="0" w:color="auto"/>
        <w:right w:val="none" w:sz="0" w:space="0" w:color="auto"/>
      </w:divBdr>
    </w:div>
    <w:div w:id="593562009">
      <w:bodyDiv w:val="1"/>
      <w:marLeft w:val="0"/>
      <w:marRight w:val="0"/>
      <w:marTop w:val="0"/>
      <w:marBottom w:val="0"/>
      <w:divBdr>
        <w:top w:val="none" w:sz="0" w:space="0" w:color="auto"/>
        <w:left w:val="none" w:sz="0" w:space="0" w:color="auto"/>
        <w:bottom w:val="none" w:sz="0" w:space="0" w:color="auto"/>
        <w:right w:val="none" w:sz="0" w:space="0" w:color="auto"/>
      </w:divBdr>
      <w:divsChild>
        <w:div w:id="1120683044">
          <w:marLeft w:val="0"/>
          <w:marRight w:val="0"/>
          <w:marTop w:val="0"/>
          <w:marBottom w:val="0"/>
          <w:divBdr>
            <w:top w:val="none" w:sz="0" w:space="0" w:color="auto"/>
            <w:left w:val="none" w:sz="0" w:space="0" w:color="auto"/>
            <w:bottom w:val="none" w:sz="0" w:space="0" w:color="auto"/>
            <w:right w:val="none" w:sz="0" w:space="0" w:color="auto"/>
          </w:divBdr>
          <w:divsChild>
            <w:div w:id="766735593">
              <w:marLeft w:val="0"/>
              <w:marRight w:val="0"/>
              <w:marTop w:val="0"/>
              <w:marBottom w:val="0"/>
              <w:divBdr>
                <w:top w:val="none" w:sz="0" w:space="0" w:color="auto"/>
                <w:left w:val="none" w:sz="0" w:space="0" w:color="auto"/>
                <w:bottom w:val="none" w:sz="0" w:space="0" w:color="auto"/>
                <w:right w:val="none" w:sz="0" w:space="0" w:color="auto"/>
              </w:divBdr>
              <w:divsChild>
                <w:div w:id="1143691151">
                  <w:marLeft w:val="0"/>
                  <w:marRight w:val="0"/>
                  <w:marTop w:val="0"/>
                  <w:marBottom w:val="0"/>
                  <w:divBdr>
                    <w:top w:val="none" w:sz="0" w:space="0" w:color="auto"/>
                    <w:left w:val="none" w:sz="0" w:space="0" w:color="auto"/>
                    <w:bottom w:val="none" w:sz="0" w:space="0" w:color="auto"/>
                    <w:right w:val="none" w:sz="0" w:space="0" w:color="auto"/>
                  </w:divBdr>
                  <w:divsChild>
                    <w:div w:id="944583445">
                      <w:marLeft w:val="0"/>
                      <w:marRight w:val="0"/>
                      <w:marTop w:val="0"/>
                      <w:marBottom w:val="0"/>
                      <w:divBdr>
                        <w:top w:val="none" w:sz="0" w:space="0" w:color="auto"/>
                        <w:left w:val="none" w:sz="0" w:space="0" w:color="auto"/>
                        <w:bottom w:val="none" w:sz="0" w:space="0" w:color="auto"/>
                        <w:right w:val="none" w:sz="0" w:space="0" w:color="auto"/>
                      </w:divBdr>
                      <w:divsChild>
                        <w:div w:id="539780111">
                          <w:marLeft w:val="0"/>
                          <w:marRight w:val="0"/>
                          <w:marTop w:val="0"/>
                          <w:marBottom w:val="0"/>
                          <w:divBdr>
                            <w:top w:val="none" w:sz="0" w:space="0" w:color="auto"/>
                            <w:left w:val="none" w:sz="0" w:space="0" w:color="auto"/>
                            <w:bottom w:val="none" w:sz="0" w:space="0" w:color="auto"/>
                            <w:right w:val="none" w:sz="0" w:space="0" w:color="auto"/>
                          </w:divBdr>
                          <w:divsChild>
                            <w:div w:id="1931233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ECHR_Theme_Judgments_Decisions_Reports">
  <a:themeElements>
    <a:clrScheme name="ECHR_grey">
      <a:dk1>
        <a:sysClr val="windowText" lastClr="000000"/>
      </a:dk1>
      <a:lt1>
        <a:srgbClr val="0072BC"/>
      </a:lt1>
      <a:dk2>
        <a:srgbClr val="C6C6C6"/>
      </a:dk2>
      <a:lt2>
        <a:srgbClr val="F8F8F8"/>
      </a:lt2>
      <a:accent1>
        <a:srgbClr val="0072BC"/>
      </a:accent1>
      <a:accent2>
        <a:srgbClr val="C00000"/>
      </a:accent2>
      <a:accent3>
        <a:srgbClr val="5F5F5F"/>
      </a:accent3>
      <a:accent4>
        <a:srgbClr val="969696"/>
      </a:accent4>
      <a:accent5>
        <a:srgbClr val="5F5F5F"/>
      </a:accent5>
      <a:accent6>
        <a:srgbClr val="4D4D4D"/>
      </a:accent6>
      <a:hlink>
        <a:srgbClr val="0072BC"/>
      </a:hlink>
      <a:folHlink>
        <a:srgbClr val="7030A0"/>
      </a:folHlink>
    </a:clrScheme>
    <a:fontScheme name="ECHR_Judgments_Reports_Decisions">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8EB02BDB9E204AB350EDD385B68E10" ma:contentTypeVersion="0" ma:contentTypeDescription="Create a new document." ma:contentTypeScope="" ma:versionID="4c0f801ee557d5c8fba2c83aceb7a3a2">
  <xsd:schema xmlns:xsd="http://www.w3.org/2001/XMLSchema" xmlns:xs="http://www.w3.org/2001/XMLSchema" xmlns:p="http://schemas.microsoft.com/office/2006/metadata/properties" targetNamespace="http://schemas.microsoft.com/office/2006/metadata/properties" ma:root="true" ma:fieldsID="66a9e0779a85d62bb2248c31b91edb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A098B6B-AAFB-4A54-B9A5-25F70094BAA0}"/>
</file>

<file path=customXml/itemProps2.xml><?xml version="1.0" encoding="utf-8"?>
<ds:datastoreItem xmlns:ds="http://schemas.openxmlformats.org/officeDocument/2006/customXml" ds:itemID="{086A6071-47CA-42D3-9F31-61E23A420A6B}"/>
</file>

<file path=customXml/itemProps3.xml><?xml version="1.0" encoding="utf-8"?>
<ds:datastoreItem xmlns:ds="http://schemas.openxmlformats.org/officeDocument/2006/customXml" ds:itemID="{C369C530-7A7E-4995-899C-BB5F134ED498}"/>
</file>

<file path=customXml/itemProps4.xml><?xml version="1.0" encoding="utf-8"?>
<ds:datastoreItem xmlns:ds="http://schemas.openxmlformats.org/officeDocument/2006/customXml" ds:itemID="{C8475BB2-A7AA-4F65-AC1A-F45C8ABA204D}"/>
</file>

<file path=docProps/app.xml><?xml version="1.0" encoding="utf-8"?>
<Properties xmlns="http://schemas.openxmlformats.org/officeDocument/2006/extended-properties" xmlns:vt="http://schemas.openxmlformats.org/officeDocument/2006/docPropsVTypes">
  <Template>Normal.dotm</Template>
  <TotalTime>0</TotalTime>
  <Pages>1</Pages>
  <Words>2266</Words>
  <Characters>12917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ECHR</vt:lpstr>
    </vt:vector>
  </TitlesOfParts>
  <Manager/>
  <Company/>
  <LinksUpToDate>false</LinksUpToDate>
  <CharactersWithSpaces>15153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ECHR</dc:title>
  <dc:subject>DJ</dc:subject>
  <dc:creator/>
  <cp:lastModifiedBy/>
  <cp:revision>1</cp:revision>
  <dcterms:created xsi:type="dcterms:W3CDTF">2018-12-04T14:17:00Z</dcterms:created>
  <dcterms:modified xsi:type="dcterms:W3CDTF">2018-12-04T14:17:00Z</dcterms:modified>
  <cp:category>ECHR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stLanguage">
    <vt:i4>2057</vt:i4>
  </property>
  <property fmtid="{D5CDD505-2E9C-101B-9397-08002B2CF9AE}" pid="3" name="RegisteredNo">
    <vt:lpwstr>66640/12</vt:lpwstr>
  </property>
  <property fmtid="{D5CDD505-2E9C-101B-9397-08002B2CF9AE}" pid="4" name="CASEID">
    <vt:lpwstr>835276</vt:lpwstr>
  </property>
  <property fmtid="{D5CDD505-2E9C-101B-9397-08002B2CF9AE}" pid="5" name="ContentTypeId">
    <vt:lpwstr>0x010100558EB02BDB9E204AB350EDD385B68E10</vt:lpwstr>
  </property>
</Properties>
</file>